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E0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города Оренбурга от 23 октября 2019 г. N 30</w:t>
        </w:r>
        <w:r>
          <w:rPr>
            <w:rStyle w:val="a4"/>
            <w:b w:val="0"/>
            <w:bCs w:val="0"/>
          </w:rPr>
          <w:t>48-п "Об утверждении положения об установлении системы оплаты труда работников муниципальных общеобразовательных организаций города Оренбурга, подведомственных управлению образования администрации города Оренбурга" (с изменениями и дополнениями)</w:t>
        </w:r>
      </w:hyperlink>
    </w:p>
    <w:p w:rsidR="00000000" w:rsidRDefault="000E4E00">
      <w:pPr>
        <w:pStyle w:val="ab"/>
      </w:pPr>
      <w:r>
        <w:t>С измен</w:t>
      </w:r>
      <w:r>
        <w:t>ениями и дополнениями от:</w:t>
      </w:r>
    </w:p>
    <w:p w:rsidR="00000000" w:rsidRDefault="000E4E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августа 2020 г., 29 марта 2021 г.</w:t>
      </w:r>
    </w:p>
    <w:p w:rsidR="00000000" w:rsidRDefault="000E4E00"/>
    <w:p w:rsidR="00000000" w:rsidRDefault="000E4E00">
      <w:r>
        <w:t xml:space="preserve">В соответствии со </w:t>
      </w:r>
      <w:hyperlink r:id="rId8" w:history="1">
        <w:r>
          <w:rPr>
            <w:rStyle w:val="a4"/>
          </w:rPr>
          <w:t>статьями 144</w:t>
        </w:r>
      </w:hyperlink>
      <w:r>
        <w:t xml:space="preserve">, </w:t>
      </w:r>
      <w:hyperlink r:id="rId9" w:history="1">
        <w:r>
          <w:rPr>
            <w:rStyle w:val="a4"/>
          </w:rPr>
          <w:t>145</w:t>
        </w:r>
      </w:hyperlink>
      <w:r>
        <w:t xml:space="preserve"> Трудо</w:t>
      </w:r>
      <w:r>
        <w:t xml:space="preserve">вого кодекса Российской Федерации, с Федеральным законом от 19.06.2000 N 82-ФЗ "О минимальном размере оплаты труда", </w:t>
      </w:r>
      <w:hyperlink r:id="rId10" w:history="1">
        <w:r>
          <w:rPr>
            <w:rStyle w:val="a4"/>
          </w:rPr>
          <w:t>пунктом 13 части 1 статьи 16</w:t>
        </w:r>
      </w:hyperlink>
      <w:r>
        <w:t xml:space="preserve">, </w:t>
      </w:r>
      <w:hyperlink r:id="rId11" w:history="1">
        <w:r>
          <w:rPr>
            <w:rStyle w:val="a4"/>
          </w:rPr>
          <w:t>статьей 53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4"/>
          </w:rPr>
          <w:t xml:space="preserve">пунктом </w:t>
        </w:r>
        <w:r>
          <w:rPr>
            <w:rStyle w:val="a4"/>
          </w:rPr>
          <w:t>16 части 2 статьи 8</w:t>
        </w:r>
      </w:hyperlink>
      <w:r>
        <w:t xml:space="preserve">, </w:t>
      </w:r>
      <w:hyperlink r:id="rId13" w:history="1">
        <w:r>
          <w:rPr>
            <w:rStyle w:val="a4"/>
          </w:rPr>
          <w:t>пунктом 4 части 1 статьи 33</w:t>
        </w:r>
      </w:hyperlink>
      <w:r>
        <w:t xml:space="preserve">, </w:t>
      </w:r>
      <w:hyperlink r:id="rId14" w:history="1">
        <w:r>
          <w:rPr>
            <w:rStyle w:val="a4"/>
          </w:rPr>
          <w:t>пунктом 1 части 8 статьи 35</w:t>
        </w:r>
      </w:hyperlink>
      <w:r>
        <w:t xml:space="preserve"> Устава муниципального о</w:t>
      </w:r>
      <w:r>
        <w:t xml:space="preserve">бразования "город Оренбург", принятого </w:t>
      </w:r>
      <w:hyperlink r:id="rId15" w:history="1">
        <w:r>
          <w:rPr>
            <w:rStyle w:val="a4"/>
          </w:rPr>
          <w:t>решением</w:t>
        </w:r>
      </w:hyperlink>
      <w:r>
        <w:t xml:space="preserve"> Оренбургского городского Совета от 28.04.2015 N 1015, </w:t>
      </w:r>
      <w:hyperlink r:id="rId16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администрации города Оренбурга от 26.09.2016 N 2984-п "Об утверждении Положения об установлении системы оплаты труда работников муниципальных бюджетных, автономных и казенных учреждений города Оренбурга":</w:t>
      </w:r>
    </w:p>
    <w:p w:rsidR="00000000" w:rsidRDefault="000E4E00">
      <w:bookmarkStart w:id="0" w:name="sub_1"/>
      <w:r>
        <w:t xml:space="preserve">1. Утвердить положение об установлении системы оплаты труда работников муниципальных общеобразовательных организаций города Оренбурга, подведомственных управлению образования администрации города Оренбурга, согласно </w:t>
      </w:r>
      <w:hyperlink w:anchor="sub_8" w:history="1">
        <w:r>
          <w:rPr>
            <w:rStyle w:val="a4"/>
          </w:rPr>
          <w:t>приложению</w:t>
        </w:r>
      </w:hyperlink>
      <w:r>
        <w:t xml:space="preserve"> к наст</w:t>
      </w:r>
      <w:r>
        <w:t>оящему постановлению.</w:t>
      </w:r>
    </w:p>
    <w:p w:rsidR="00000000" w:rsidRDefault="000E4E00">
      <w:bookmarkStart w:id="1" w:name="sub_2"/>
      <w:bookmarkEnd w:id="0"/>
      <w:r>
        <w:t>2. Руководителям 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образования, организовать и принять лич</w:t>
      </w:r>
      <w:r>
        <w:t>ное участие в работе по информированию всех работников организаций об изменении системы оплаты труда в соответствии с законодательством.</w:t>
      </w:r>
    </w:p>
    <w:p w:rsidR="00000000" w:rsidRDefault="000E4E00">
      <w:bookmarkStart w:id="2" w:name="sub_3"/>
      <w:bookmarkEnd w:id="1"/>
      <w:r>
        <w:t>3. Признать утратившими силу:</w:t>
      </w:r>
    </w:p>
    <w:p w:rsidR="00000000" w:rsidRDefault="000E4E00">
      <w:bookmarkStart w:id="3" w:name="sub_31"/>
      <w:bookmarkEnd w:id="2"/>
      <w:r>
        <w:t xml:space="preserve">1)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11.07.2017 N 2857-п "Об утверждении Положения об установлении системы оплаты труда работников муниципальных общеобразовательных организаций, подведомственных управлению образования администрации город</w:t>
      </w:r>
      <w:r>
        <w:t>а Оренбурга";</w:t>
      </w:r>
    </w:p>
    <w:p w:rsidR="00000000" w:rsidRDefault="000E4E00">
      <w:bookmarkStart w:id="4" w:name="sub_32"/>
      <w:bookmarkEnd w:id="3"/>
      <w:r>
        <w:t xml:space="preserve">2)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24.11.2017 N 4521-п "О внесении изменений в постановление администрации города Оренбурга от 11.07.2017 N 2</w:t>
      </w:r>
      <w:r>
        <w:t>857-п".</w:t>
      </w:r>
    </w:p>
    <w:p w:rsidR="00000000" w:rsidRDefault="000E4E00">
      <w:bookmarkStart w:id="5" w:name="sub_4"/>
      <w:bookmarkEnd w:id="4"/>
      <w:r>
        <w:t xml:space="preserve">4. Настоящее постановление подлежит </w:t>
      </w:r>
      <w:hyperlink r:id="rId19" w:history="1">
        <w:r>
          <w:rPr>
            <w:rStyle w:val="a4"/>
          </w:rPr>
          <w:t>официальному опубликованию</w:t>
        </w:r>
      </w:hyperlink>
      <w:r>
        <w:t xml:space="preserve"> в газете "Вечерний Оренбург" и размещению на </w:t>
      </w:r>
      <w:hyperlink r:id="rId20" w:history="1">
        <w:r>
          <w:rPr>
            <w:rStyle w:val="a4"/>
          </w:rPr>
          <w:t>официальном Интернет-портале</w:t>
        </w:r>
      </w:hyperlink>
      <w:r>
        <w:t xml:space="preserve"> города Оренбурга.</w:t>
      </w:r>
    </w:p>
    <w:p w:rsidR="00000000" w:rsidRDefault="000E4E00">
      <w:bookmarkStart w:id="6" w:name="sub_5"/>
      <w:bookmarkEnd w:id="5"/>
      <w:r>
        <w:t>5. Настоящее постановление подлежит передаче в уполномоченный орган исполнительной власти Оренбургской области по ведению регистра муниципальных нормативных правовых актов.</w:t>
      </w:r>
    </w:p>
    <w:p w:rsidR="00000000" w:rsidRDefault="000E4E00">
      <w:bookmarkStart w:id="7" w:name="sub_6"/>
      <w:bookmarkEnd w:id="6"/>
      <w:r>
        <w:t xml:space="preserve">6. Настоящее постановление вступает в силу после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в газете "Вечерний Оренбург" и распространяется на правоотношения, возникшие с 01.09.2019.</w:t>
      </w:r>
    </w:p>
    <w:p w:rsidR="00000000" w:rsidRDefault="000E4E00">
      <w:bookmarkStart w:id="8" w:name="sub_7"/>
      <w:bookmarkEnd w:id="7"/>
      <w:r>
        <w:t>7. Поручить организацию исполнения настоящего постановления заместителю Главы города Оренбурга по социальным вопросам Снатенковой В.В.</w:t>
      </w:r>
    </w:p>
    <w:bookmarkEnd w:id="8"/>
    <w:p w:rsidR="00000000" w:rsidRDefault="000E4E0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4E00">
            <w:pPr>
              <w:pStyle w:val="ac"/>
            </w:pPr>
            <w:r>
              <w:t>Глава города Оренбурга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4E00">
            <w:pPr>
              <w:pStyle w:val="aa"/>
              <w:jc w:val="right"/>
            </w:pPr>
            <w:r>
              <w:t>Д.В. Кулагин</w:t>
            </w:r>
          </w:p>
        </w:tc>
      </w:tr>
    </w:tbl>
    <w:p w:rsidR="00000000" w:rsidRDefault="000E4E00"/>
    <w:p w:rsidR="00000000" w:rsidRDefault="000E4E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изменено с 1 апреля 2021 г. -</w:t>
      </w:r>
      <w:r>
        <w:rPr>
          <w:shd w:val="clear" w:color="auto" w:fill="F0F0F0"/>
        </w:rP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29 марта 2021 г. N 563-п</w:t>
      </w:r>
    </w:p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4E0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города Оренбурга</w:t>
      </w:r>
      <w:r>
        <w:rPr>
          <w:rStyle w:val="a3"/>
          <w:rFonts w:ascii="Arial" w:hAnsi="Arial" w:cs="Arial"/>
        </w:rPr>
        <w:br/>
        <w:t>от 23.10.2019 N 3048-п</w:t>
      </w:r>
    </w:p>
    <w:p w:rsidR="00000000" w:rsidRDefault="000E4E00"/>
    <w:p w:rsidR="00000000" w:rsidRDefault="000E4E00">
      <w:pPr>
        <w:pStyle w:val="1"/>
      </w:pPr>
      <w:r>
        <w:t>Положение</w:t>
      </w:r>
      <w:r>
        <w:br/>
      </w:r>
      <w:r>
        <w:t>об установлении системы оплаты труда работников муниципальных общеобразовательных организаций города Оренбурга, подведомственных управлению образования администрации города Оренбурга</w:t>
      </w:r>
    </w:p>
    <w:p w:rsidR="00000000" w:rsidRDefault="000E4E00">
      <w:pPr>
        <w:pStyle w:val="ab"/>
      </w:pPr>
      <w:r>
        <w:t>С изменениями и дополнениями от:</w:t>
      </w:r>
    </w:p>
    <w:p w:rsidR="00000000" w:rsidRDefault="000E4E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августа 2020 г., 29 марта 2021 г.</w:t>
      </w:r>
    </w:p>
    <w:p w:rsidR="00000000" w:rsidRDefault="000E4E00"/>
    <w:p w:rsidR="00000000" w:rsidRDefault="000E4E00">
      <w:pPr>
        <w:pStyle w:val="1"/>
      </w:pPr>
      <w:bookmarkStart w:id="10" w:name="sub_1001"/>
      <w:r>
        <w:t>1. Общие положения</w:t>
      </w:r>
    </w:p>
    <w:bookmarkEnd w:id="10"/>
    <w:p w:rsidR="00000000" w:rsidRDefault="000E4E00"/>
    <w:p w:rsidR="00000000" w:rsidRDefault="000E4E00">
      <w:bookmarkStart w:id="11" w:name="sub_1011"/>
      <w:r>
        <w:t>1.1. Положение об установлении системы оплаты труда работников муниципальных общеобразовательных организаций города Оренбурга, подведомственных управлению образования администрации города Оренбурга (далее - Положе</w:t>
      </w:r>
      <w:r>
        <w:t>ние), определяет оплату труда руководящих, педагогических и иных работников (далее - работники) 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</w:t>
      </w:r>
      <w:r>
        <w:t xml:space="preserve"> общего образования (далее - организации).</w:t>
      </w:r>
    </w:p>
    <w:p w:rsidR="00000000" w:rsidRDefault="000E4E00">
      <w:bookmarkStart w:id="12" w:name="sub_1012"/>
      <w:bookmarkEnd w:id="11"/>
      <w:r>
        <w:t>1.2. В случае если муниципальная общеобразовательная организация реализует, в том числе, основную образовательную программу дошкольного образования, для регулирования оплаты труда работников, занят</w:t>
      </w:r>
      <w:r>
        <w:t>ых реализацией основной образовательной программы дошкольного образования, настоящее Положение не применяется.</w:t>
      </w:r>
    </w:p>
    <w:p w:rsidR="00000000" w:rsidRDefault="000E4E00">
      <w:bookmarkStart w:id="13" w:name="sub_1013"/>
      <w:bookmarkEnd w:id="12"/>
      <w:r>
        <w:t>1.3. Система оплаты труда работников организаций устанавливается коллективными договорами, соглашениями и локальными нормативными</w:t>
      </w:r>
      <w:r>
        <w:t xml:space="preserve"> актами, принятыми в соответствии с </w:t>
      </w:r>
      <w:hyperlink r:id="rId2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Федерации, нормативными правовыми актами органов местного самоуправления и настоящим Положением.</w:t>
      </w:r>
    </w:p>
    <w:p w:rsidR="00000000" w:rsidRDefault="000E4E00">
      <w:bookmarkStart w:id="14" w:name="sub_1014"/>
      <w:bookmarkEnd w:id="13"/>
      <w:r>
        <w:t>1.4. Система оплаты труда работников организаций устанавливается с учетом:</w:t>
      </w:r>
    </w:p>
    <w:bookmarkEnd w:id="14"/>
    <w:p w:rsidR="00000000" w:rsidRDefault="000E4E00">
      <w:r>
        <w:fldChar w:fldCharType="begin"/>
      </w:r>
      <w:r>
        <w:instrText>HYPERLINK "http:/</w:instrText>
      </w:r>
      <w:r>
        <w:instrText>/mobileonline.garant.ru/document/redirect/108186/0"</w:instrText>
      </w:r>
      <w:r>
        <w:fldChar w:fldCharType="separate"/>
      </w:r>
      <w:r>
        <w:rPr>
          <w:rStyle w:val="a4"/>
        </w:rPr>
        <w:t>Единого тарифно-квалификационного справочника</w:t>
      </w:r>
      <w:r>
        <w:fldChar w:fldCharType="end"/>
      </w:r>
      <w:r>
        <w:t xml:space="preserve"> работ и профессий рабочих;</w:t>
      </w:r>
    </w:p>
    <w:p w:rsidR="00000000" w:rsidRDefault="000E4E00">
      <w:hyperlink r:id="rId25" w:history="1">
        <w:r>
          <w:rPr>
            <w:rStyle w:val="a4"/>
          </w:rPr>
          <w:t>Единого квалификационного справочника</w:t>
        </w:r>
      </w:hyperlink>
      <w:r>
        <w:t xml:space="preserve"> должностей руковод</w:t>
      </w:r>
      <w:r>
        <w:t>ителей, специалистов и служащих;</w:t>
      </w:r>
    </w:p>
    <w:p w:rsidR="00000000" w:rsidRDefault="000E4E00">
      <w:r>
        <w:t>государственных гарантий по оплате труда;</w:t>
      </w:r>
    </w:p>
    <w:p w:rsidR="00000000" w:rsidRDefault="000E4E00">
      <w:r>
        <w:t>рекомендаций Российской трехсторонней комиссии по регулированию социально-трудовых отношений;</w:t>
      </w:r>
    </w:p>
    <w:p w:rsidR="00000000" w:rsidRDefault="000E4E00">
      <w:r>
        <w:t>мнения представительного органа работников.</w:t>
      </w:r>
    </w:p>
    <w:p w:rsidR="00000000" w:rsidRDefault="000E4E00">
      <w:bookmarkStart w:id="15" w:name="sub_1015"/>
      <w:r>
        <w:t>1.5. Система оплаты труда работнико</w:t>
      </w:r>
      <w:r>
        <w:t>в организаций включает в себя порядок определения размеров должностных окладов работников, размеры тарифных ставок, доплаты и надбавки компенсационного характера (далее - выплаты компенсационного характера), доплаты и надбавки стимулирующего характера (дал</w:t>
      </w:r>
      <w:r>
        <w:t>ее - выплаты стимулирующего характера).</w:t>
      </w:r>
    </w:p>
    <w:p w:rsidR="00000000" w:rsidRDefault="000E4E00">
      <w:bookmarkStart w:id="16" w:name="sub_1016"/>
      <w:bookmarkEnd w:id="15"/>
      <w:r>
        <w:t>1.6. В трудовом договоре с работником предусматриваются условия оплаты труда, установленные законодательством, в том числе размер оклада (должностного оклада), тарифной ставки работника, доплаты, надб</w:t>
      </w:r>
      <w:r>
        <w:t>авки и стимулирующие выплаты.</w:t>
      </w:r>
    </w:p>
    <w:p w:rsidR="00000000" w:rsidRDefault="000E4E00">
      <w:bookmarkStart w:id="17" w:name="sub_1017"/>
      <w:bookmarkEnd w:id="16"/>
      <w:r>
        <w:t xml:space="preserve">1.7. Размеры тарифных ставок заработной платы работников организаций устанавливаются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Положению.</w:t>
      </w:r>
    </w:p>
    <w:p w:rsidR="00000000" w:rsidRDefault="000E4E00">
      <w:bookmarkStart w:id="18" w:name="sub_1018"/>
      <w:bookmarkEnd w:id="17"/>
      <w:r>
        <w:t xml:space="preserve">1.8. Размеры и условия осуществления </w:t>
      </w:r>
      <w:r>
        <w:t xml:space="preserve">выплат компенсационного характера, в том числе за работу в условиях, отклоняющихся от нормальных, определяются настоящим Положением, </w:t>
      </w:r>
      <w:hyperlink r:id="rId26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</w:t>
      </w:r>
      <w:r>
        <w:t>авовыми актами, содержащими нормы трудового права.</w:t>
      </w:r>
    </w:p>
    <w:p w:rsidR="00000000" w:rsidRDefault="000E4E00">
      <w:bookmarkStart w:id="19" w:name="sub_1019"/>
      <w:bookmarkEnd w:id="18"/>
      <w:r>
        <w:t>1.9. Размер и условия осуществления выплат стимулирующего характера определяются настоящим Положением, локальными нормативными актами организаций в пределах фонда оплаты труда работников ор</w:t>
      </w:r>
      <w:r>
        <w:t>ганизаций с учетом формализованных показателей и критериев оценки эффективности деятельности работников, утверждаемых приказом руководителя организации.</w:t>
      </w:r>
    </w:p>
    <w:p w:rsidR="00000000" w:rsidRDefault="000E4E00">
      <w:bookmarkStart w:id="20" w:name="sub_1110"/>
      <w:bookmarkEnd w:id="19"/>
      <w:r>
        <w:t>1.10. Фонд оплаты труда работников организаций формируется на календарный год за счет с</w:t>
      </w:r>
      <w:r>
        <w:t xml:space="preserve">убсидий, поступающих в установленном порядке из </w:t>
      </w:r>
      <w:hyperlink r:id="rId27" w:history="1">
        <w:r>
          <w:rPr>
            <w:rStyle w:val="a4"/>
          </w:rPr>
          <w:t>бюджета</w:t>
        </w:r>
      </w:hyperlink>
      <w:r>
        <w:t xml:space="preserve"> Оренбургской области, за счет средств бюджета города Оренбурга и средств, поступающих от иной приносящей доход деятельности.</w:t>
      </w:r>
    </w:p>
    <w:p w:rsidR="00000000" w:rsidRDefault="000E4E00">
      <w:bookmarkStart w:id="21" w:name="sub_1111"/>
      <w:bookmarkEnd w:id="20"/>
      <w:r>
        <w:t>1.11. Штатное расписание организации утверждается руководителем организации в пределах фонда оплаты труда работников организации, при этом обязательными для применения являются Единый тарифно-квалификационный справочник работ и профессий рабо</w:t>
      </w:r>
      <w:r>
        <w:t>чих и Единый квалификационный справочник должностей руководителей, специалистов и служащих.</w:t>
      </w:r>
    </w:p>
    <w:p w:rsidR="00000000" w:rsidRDefault="000E4E00">
      <w:bookmarkStart w:id="22" w:name="sub_1112"/>
      <w:bookmarkEnd w:id="21"/>
      <w:r>
        <w:t xml:space="preserve">1.12. Доля окладов (должностных окладов, ставок заработной платы) в структуре фонда оплаты труда работников организаций (без учета выплат за работу </w:t>
      </w:r>
      <w:r>
        <w:t>в особых климатических условиях (районный коэффициент) должна составлять не менее 70 процентов.</w:t>
      </w:r>
    </w:p>
    <w:p w:rsidR="00000000" w:rsidRDefault="000E4E00">
      <w:bookmarkStart w:id="23" w:name="sub_1113"/>
      <w:bookmarkEnd w:id="22"/>
      <w:r>
        <w:t>1.13. Заработная плата работников организаций (без учета премий и иных стимулирующих выплат) не может быть меньше заработной платы работников ор</w:t>
      </w:r>
      <w:r>
        <w:t>ганизаций (без учета премий и иных стимулирующих выплат), выплачиваемой до введения настоящего Положения, при условии сохранения объема должностных (трудовых) обязанностей работников организаций и выполнения ими работ той же квалификации.</w:t>
      </w:r>
    </w:p>
    <w:p w:rsidR="00000000" w:rsidRDefault="000E4E00">
      <w:bookmarkStart w:id="24" w:name="sub_1114"/>
      <w:bookmarkEnd w:id="23"/>
      <w:r>
        <w:t>1</w:t>
      </w:r>
      <w:r>
        <w:t>.14. На оплату труда работников организаций могут направляться средства от иной приносящей доход деятельности в размере, не превышающем 50 процентов от общей суммы фактически поступивших средств.</w:t>
      </w:r>
    </w:p>
    <w:p w:rsidR="00000000" w:rsidRDefault="000E4E00">
      <w:bookmarkStart w:id="25" w:name="sub_1142"/>
      <w:bookmarkEnd w:id="24"/>
      <w:r>
        <w:t>На повышение оплаты труда в целях выполнения</w:t>
      </w:r>
      <w:r>
        <w:t xml:space="preserve"> показателей "дорожной карты" могут направляться до 100 процентов от общей суммы фактически поступивших средств от иной приносящей доход деятельности.</w:t>
      </w:r>
    </w:p>
    <w:p w:rsidR="00000000" w:rsidRDefault="000E4E00">
      <w:bookmarkStart w:id="26" w:name="sub_1115"/>
      <w:bookmarkEnd w:id="25"/>
      <w:r>
        <w:t>1.15. Оплата труда работников организаций, занятых по совместительству, совмещению, а так</w:t>
      </w:r>
      <w:r>
        <w:t>же на условиях неполного рабочего времени, производится пропорционально отработанному времени.</w:t>
      </w:r>
    </w:p>
    <w:bookmarkEnd w:id="26"/>
    <w:p w:rsidR="00000000" w:rsidRDefault="000E4E00">
      <w:r>
        <w:t>Определение размеров заработной платы по основной должности, а также по должности, занимаемой в порядке совместительства и совмещения, производится разде</w:t>
      </w:r>
      <w:r>
        <w:t>льно по каждой из должностей.</w:t>
      </w:r>
    </w:p>
    <w:p w:rsidR="00000000" w:rsidRDefault="000E4E00">
      <w:bookmarkStart w:id="27" w:name="sub_1116"/>
      <w:r>
        <w:t>1.16. При наступлении у руководителей и педагогических работников права на изменение размера заработной платы в период пребывания в ежегодном или ином отпуске, в период их временной нетрудоспособности, а также в другие периоды, в течение которых за ними со</w:t>
      </w:r>
      <w:r>
        <w:t>храняется средняя заработная плата, изменение размера заработной платы осуществляется по окончании указанных периодов.</w:t>
      </w:r>
    </w:p>
    <w:p w:rsidR="00000000" w:rsidRDefault="000E4E00">
      <w:bookmarkStart w:id="28" w:name="sub_1117"/>
      <w:bookmarkEnd w:id="27"/>
      <w:r>
        <w:t>1.17. Вакантные должности педагогических работников организаций рассчитываются исходя из тарифной ставки заработной платы</w:t>
      </w:r>
      <w:r>
        <w:t xml:space="preserve"> с учетом средних повышающих коэффициентов, сложившихся в организации. Вакантные должности (профессии) иных работников организаций рассчитываются исходя из тарифной ставки заработной платы работника организации, но не менее </w:t>
      </w:r>
      <w:hyperlink r:id="rId28" w:history="1">
        <w:r>
          <w:rPr>
            <w:rStyle w:val="a4"/>
          </w:rPr>
          <w:t>минимального размера оплаты труда</w:t>
        </w:r>
      </w:hyperlink>
      <w:r>
        <w:t>.</w:t>
      </w:r>
    </w:p>
    <w:bookmarkEnd w:id="28"/>
    <w:p w:rsidR="00000000" w:rsidRDefault="000E4E00"/>
    <w:p w:rsidR="00000000" w:rsidRDefault="000E4E00">
      <w:pPr>
        <w:pStyle w:val="1"/>
      </w:pPr>
      <w:bookmarkStart w:id="29" w:name="sub_1002"/>
      <w:r>
        <w:t>2. Условия оплаты труда руководящих работников организаций</w:t>
      </w:r>
    </w:p>
    <w:bookmarkEnd w:id="29"/>
    <w:p w:rsidR="00000000" w:rsidRDefault="000E4E00"/>
    <w:p w:rsidR="00000000" w:rsidRDefault="000E4E00">
      <w:bookmarkStart w:id="30" w:name="sub_1021"/>
      <w:r>
        <w:t>2.1. Условия оплаты труда руководящих работников организаций распространяются на руково</w:t>
      </w:r>
      <w:r>
        <w:t>дителя, заместителя руководителя, главного бухгалтера организации.</w:t>
      </w:r>
    </w:p>
    <w:p w:rsidR="00000000" w:rsidRDefault="000E4E00">
      <w:bookmarkStart w:id="31" w:name="sub_1022"/>
      <w:bookmarkEnd w:id="30"/>
      <w:r>
        <w:lastRenderedPageBreak/>
        <w:t>2.2. Заработная плата руководящих работников организации состоит из должностного оклада, выплат компенсационного и стимулирующего характера.</w:t>
      </w:r>
    </w:p>
    <w:p w:rsidR="00000000" w:rsidRDefault="000E4E00">
      <w:bookmarkStart w:id="32" w:name="sub_1023"/>
      <w:bookmarkEnd w:id="31"/>
      <w:r>
        <w:t>2.3. Должностной</w:t>
      </w:r>
      <w:r>
        <w:t xml:space="preserve"> оклад руководителя организации определяется эффективным трудовым договором, в зависимости от сложности труда, в том числе с учетом масштаба и уровня управления и особенностей деятельности и значимости организации.</w:t>
      </w:r>
    </w:p>
    <w:p w:rsidR="00000000" w:rsidRDefault="000E4E00">
      <w:bookmarkStart w:id="33" w:name="sub_1024"/>
      <w:bookmarkEnd w:id="32"/>
      <w:r>
        <w:t xml:space="preserve">2.4. Размер должностного </w:t>
      </w:r>
      <w:r>
        <w:t>оклада руководителя организации устанавливается ежегодно один раз в год на 1 января текущего года, по итогам работы за предыдущий период. При расчете учитывается средняя заработная плата всех работников организации, кроме заработной платы руководителя этой</w:t>
      </w:r>
      <w:r>
        <w:t xml:space="preserve"> организации, его заместителей, главного бухгалтера и внешних совместителей.</w:t>
      </w:r>
    </w:p>
    <w:p w:rsidR="00000000" w:rsidRDefault="000E4E00">
      <w:bookmarkStart w:id="34" w:name="sub_1025"/>
      <w:bookmarkEnd w:id="33"/>
      <w:r>
        <w:t>2.5. Размер должностного оклада руководителя организации рассчитывается по формуле:</w:t>
      </w:r>
    </w:p>
    <w:bookmarkEnd w:id="34"/>
    <w:p w:rsidR="00000000" w:rsidRDefault="000E4E00"/>
    <w:p w:rsidR="00000000" w:rsidRDefault="00FA2DE4">
      <w:pPr>
        <w:ind w:firstLine="698"/>
        <w:jc w:val="center"/>
      </w:pPr>
      <w:r>
        <w:rPr>
          <w:noProof/>
        </w:rPr>
        <w:drawing>
          <wp:inline distT="0" distB="0" distL="0" distR="0">
            <wp:extent cx="1932305" cy="29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>, где:</w:t>
      </w:r>
    </w:p>
    <w:p w:rsidR="00000000" w:rsidRDefault="000E4E00"/>
    <w:p w:rsidR="00000000" w:rsidRDefault="00FA2DE4">
      <w:r>
        <w:rPr>
          <w:noProof/>
        </w:rPr>
        <w:drawing>
          <wp:inline distT="0" distB="0" distL="0" distR="0">
            <wp:extent cx="245110" cy="2736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должностной оклад;</w:t>
      </w:r>
    </w:p>
    <w:p w:rsidR="00000000" w:rsidRDefault="00FA2DE4">
      <w:r>
        <w:rPr>
          <w:noProof/>
        </w:rPr>
        <w:drawing>
          <wp:inline distT="0" distB="0" distL="0" distR="0">
            <wp:extent cx="396240" cy="273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средняя заработная плата всех работников организации, кроме заработной платы руководителя этой организации, его заместителей, главного бухгалтера и внешних совместителей за предыдущий ка</w:t>
      </w:r>
      <w:r w:rsidR="000E4E00">
        <w:t>лендарный год;</w:t>
      </w:r>
    </w:p>
    <w:p w:rsidR="00000000" w:rsidRDefault="00FA2DE4">
      <w:r>
        <w:rPr>
          <w:noProof/>
        </w:rPr>
        <w:drawing>
          <wp:inline distT="0" distB="0" distL="0" distR="0">
            <wp:extent cx="377190" cy="2736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коэффициент масштаба и уровня управления;</w:t>
      </w:r>
    </w:p>
    <w:p w:rsidR="00000000" w:rsidRDefault="00FA2DE4">
      <w:r>
        <w:rPr>
          <w:noProof/>
        </w:rPr>
        <w:drawing>
          <wp:inline distT="0" distB="0" distL="0" distR="0">
            <wp:extent cx="245110" cy="2736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коэффициент численности обучающихся.</w:t>
      </w:r>
    </w:p>
    <w:p w:rsidR="00000000" w:rsidRDefault="000E4E00"/>
    <w:p w:rsidR="00000000" w:rsidRDefault="000E4E00">
      <w:bookmarkStart w:id="35" w:name="sub_1026"/>
      <w:r>
        <w:t>2.6. Коэффициент масштаба и уровня управления, коэффициент численности обуча</w:t>
      </w:r>
      <w:r>
        <w:t>ющихся устанавливаются распоряжением начальника управления образования администрации города Оренбурга ежегодно по состоянию на начало соответствующего календарного года в соответствии с группой по оплате труда, к которой отнесена организация. Предельный ра</w:t>
      </w:r>
      <w:r>
        <w:t>змер коэффициента масштаба и уровня управления установлен в размере 6, коэффициента численности обучающихся установлен в размере 0,1.</w:t>
      </w:r>
    </w:p>
    <w:p w:rsidR="00000000" w:rsidRDefault="000E4E00">
      <w:bookmarkStart w:id="36" w:name="sub_1027"/>
      <w:bookmarkEnd w:id="35"/>
      <w:r>
        <w:t>2.7. Группа по оплате труда организации определяется распоряжением начальника управления образования админ</w:t>
      </w:r>
      <w:r>
        <w:t>истрации города Оренбурга по состоянию на начало соответствующего календарного года в соответствии со следующими объемными показателями деятельности организации:</w:t>
      </w:r>
    </w:p>
    <w:bookmarkEnd w:id="36"/>
    <w:p w:rsidR="00000000" w:rsidRDefault="000E4E00">
      <w:r>
        <w:t>количество обучающихся общеразвивающей направленности в организации;</w:t>
      </w:r>
    </w:p>
    <w:p w:rsidR="00000000" w:rsidRDefault="000E4E00">
      <w:r>
        <w:t>количество обучаю</w:t>
      </w:r>
      <w:r>
        <w:t>щихся со специальными потребностями;</w:t>
      </w:r>
    </w:p>
    <w:p w:rsidR="00000000" w:rsidRDefault="000E4E00">
      <w:r>
        <w:t>количество обучающихся, с которыми осуществляется реализация основной образовательной программы дошкольного образования;</w:t>
      </w:r>
    </w:p>
    <w:p w:rsidR="00000000" w:rsidRDefault="000E4E00">
      <w:r>
        <w:t>количество работников в организации;</w:t>
      </w:r>
    </w:p>
    <w:p w:rsidR="00000000" w:rsidRDefault="000E4E00">
      <w:r>
        <w:t>количество работников, имеющих квалификационную категорию;</w:t>
      </w:r>
    </w:p>
    <w:p w:rsidR="00000000" w:rsidRDefault="000E4E00">
      <w:r>
        <w:t>на</w:t>
      </w:r>
      <w:r>
        <w:t>личие у организации отдельно стоящих зданий, в которых осуществляется образовательный процесс;</w:t>
      </w:r>
    </w:p>
    <w:p w:rsidR="00000000" w:rsidRDefault="000E4E00">
      <w:r>
        <w:t>наличие оборудованных и используемых в образовательном процессе компьютерных классов;</w:t>
      </w:r>
    </w:p>
    <w:p w:rsidR="00000000" w:rsidRDefault="000E4E00">
      <w:r>
        <w:t xml:space="preserve">наличие оборудованных и используемых в образовательном процессе спортивной </w:t>
      </w:r>
      <w:r>
        <w:t>площадки, бассейна, других спортивных сооружений;</w:t>
      </w:r>
    </w:p>
    <w:p w:rsidR="00000000" w:rsidRDefault="000E4E00">
      <w:r>
        <w:t>наличие оборудованного медицинского кабинета, стоматологического кабинета, сенсорной комнаты, столовой;</w:t>
      </w:r>
    </w:p>
    <w:p w:rsidR="00000000" w:rsidRDefault="000E4E00">
      <w:r>
        <w:t>наличие на балансе организации автотранспортных средств, обеспечивающих перевозку обучающихся к месту учебы;</w:t>
      </w:r>
    </w:p>
    <w:p w:rsidR="00000000" w:rsidRDefault="000E4E00">
      <w:r>
        <w:lastRenderedPageBreak/>
        <w:t>использование в учебно-воспитательном процессе учебно-опытных участков, теплиц;</w:t>
      </w:r>
    </w:p>
    <w:p w:rsidR="00000000" w:rsidRDefault="000E4E00">
      <w:r>
        <w:t>наличие оборудованных и используемых в образовательном процессе уче</w:t>
      </w:r>
      <w:r>
        <w:t>бных мастерских;</w:t>
      </w:r>
    </w:p>
    <w:p w:rsidR="00000000" w:rsidRDefault="000E4E00">
      <w:r>
        <w:t>наличие в организации творческих коллективов (состав участников не менее 10 человек), регулярно принимающих участие в концертных мероприятиях;</w:t>
      </w:r>
    </w:p>
    <w:p w:rsidR="00000000" w:rsidRDefault="000E4E00">
      <w:r>
        <w:t>иные показатели, связанные с организацией учебного процесса.</w:t>
      </w:r>
    </w:p>
    <w:p w:rsidR="00000000" w:rsidRDefault="000E4E00">
      <w:bookmarkStart w:id="37" w:name="sub_1028"/>
      <w:r>
        <w:t>2.8. Для организаций, в зда</w:t>
      </w:r>
      <w:r>
        <w:t>ниях которых осуществляется капитальный ремонт, сохраняется группа по оплате труда, определенная до начала ремонта, но не более чем на 2 календарных года.</w:t>
      </w:r>
    </w:p>
    <w:bookmarkEnd w:id="37"/>
    <w:p w:rsidR="00000000" w:rsidRDefault="000E4E00">
      <w:r>
        <w:t>Группа по оплате труда для вновь открываемых организаций устанавливается исходя из плановых (</w:t>
      </w:r>
      <w:r>
        <w:t>проектных) показателей сроком не более чем на 2 календарных года.</w:t>
      </w:r>
    </w:p>
    <w:p w:rsidR="00000000" w:rsidRDefault="000E4E00">
      <w:bookmarkStart w:id="38" w:name="sub_1029"/>
      <w:r>
        <w:t>2.9. Предельный уровень соотношения среднемесячной заработной платы руководителя организации, формируемой за счет всех источников финансового обеспечения и рассчитываемой за календар</w:t>
      </w:r>
      <w:r>
        <w:t>ный год, и среднемесячной заработной платы работников организация (без учета заработной платы соответствующего руководителя, его заместителей, главного бухгалтера) устанавливается в размере, кратном от 1 до 4.</w:t>
      </w:r>
    </w:p>
    <w:p w:rsidR="00000000" w:rsidRDefault="000E4E00">
      <w:bookmarkStart w:id="39" w:name="sub_1210"/>
      <w:bookmarkEnd w:id="38"/>
      <w:r>
        <w:t>2.10. Должностной оклад руково</w:t>
      </w:r>
      <w:r>
        <w:t>дителей организаций, в зданиях которых осуществляется капитальный ремонт, сохраняется на время проведения ремонта. Должностной оклад руководителей вновь создаваемых организаций на период проведения ремонтных работ в зданиях этих организаций устанавливается</w:t>
      </w:r>
      <w:r>
        <w:t xml:space="preserve"> трудовым договором в размере, не превышающем размер должностного оклада руководителя организации, отнесенного к аналогичной группе оплаты труда. После ввода в эксплуатацию здания организации и утверждения штатного расписания должностной оклад руководителя</w:t>
      </w:r>
      <w:r>
        <w:t xml:space="preserve"> этой организации устанавливается в соответствии с </w:t>
      </w:r>
      <w:hyperlink w:anchor="sub_1021" w:history="1">
        <w:r>
          <w:rPr>
            <w:rStyle w:val="a4"/>
          </w:rPr>
          <w:t>пунктами 2.1 - 2.9</w:t>
        </w:r>
      </w:hyperlink>
      <w:r>
        <w:t xml:space="preserve"> настоящего Положения.</w:t>
      </w:r>
    </w:p>
    <w:p w:rsidR="00000000" w:rsidRDefault="000E4E00">
      <w:bookmarkStart w:id="40" w:name="sub_1211"/>
      <w:bookmarkEnd w:id="39"/>
      <w:r>
        <w:t>2.11. Дополнительно распоряжением начальника управления образования администрации города Оренбурга руководителю организации может быть установлен повышающий персональный коэффициент к должностному окладу (за эффективность деятельности организации, за специ</w:t>
      </w:r>
      <w:r>
        <w:t>фику и условия работы, за интенсивность работы).</w:t>
      </w:r>
    </w:p>
    <w:bookmarkEnd w:id="40"/>
    <w:p w:rsidR="00000000" w:rsidRDefault="000E4E00">
      <w:r>
        <w:t>Рекомендуемое значение персонального повышающего коэффициента - не более 0,5. Персональный повышающий коэффициент устанавливается в пределах фонда оплаты труда организации.</w:t>
      </w:r>
    </w:p>
    <w:p w:rsidR="00000000" w:rsidRDefault="000E4E00">
      <w:bookmarkStart w:id="41" w:name="sub_1212"/>
      <w:r>
        <w:t xml:space="preserve">2.12. Должностной </w:t>
      </w:r>
      <w:r>
        <w:t>оклад заместителя руководителя и главного бухгалтера организации устанавливается на 10-40 процентов ниже должностного оклада руководителя этой организации.</w:t>
      </w:r>
    </w:p>
    <w:p w:rsidR="00000000" w:rsidRDefault="000E4E00">
      <w:bookmarkStart w:id="42" w:name="sub_1213"/>
      <w:bookmarkEnd w:id="41"/>
      <w:r>
        <w:t>2.13. Выплаты компенсационного характера руководителю, заместителю руководителя и гл</w:t>
      </w:r>
      <w:r>
        <w:t xml:space="preserve">авному бухгалтеру организации устанавливаются в соответствии с </w:t>
      </w:r>
      <w:hyperlink w:anchor="sub_1006" w:history="1">
        <w:r>
          <w:rPr>
            <w:rStyle w:val="a4"/>
          </w:rPr>
          <w:t>разделом 6</w:t>
        </w:r>
      </w:hyperlink>
      <w:r>
        <w:t xml:space="preserve"> настоящего Положения.</w:t>
      </w:r>
    </w:p>
    <w:p w:rsidR="00000000" w:rsidRDefault="000E4E00">
      <w:bookmarkStart w:id="43" w:name="sub_1214"/>
      <w:bookmarkEnd w:id="42"/>
      <w:r>
        <w:t>2.14. Выплаты стимулирующего характера руководителю, заместителю и главному бухгалтеру организации устанавливаются в с</w:t>
      </w:r>
      <w:r>
        <w:t xml:space="preserve">оответствии с </w:t>
      </w:r>
      <w:hyperlink w:anchor="sub_1007" w:history="1">
        <w:r>
          <w:rPr>
            <w:rStyle w:val="a4"/>
          </w:rPr>
          <w:t>разделом 7</w:t>
        </w:r>
      </w:hyperlink>
      <w:r>
        <w:t xml:space="preserve"> настоящего Положения.</w:t>
      </w:r>
    </w:p>
    <w:p w:rsidR="00000000" w:rsidRDefault="000E4E00">
      <w:bookmarkStart w:id="44" w:name="sub_1215"/>
      <w:bookmarkEnd w:id="43"/>
      <w:r>
        <w:t>2.15. Конкретные размеры должностного оклада, виды и размеры выплат компенсационного характера устанавливаются в трудовом договоре.</w:t>
      </w:r>
    </w:p>
    <w:p w:rsidR="00000000" w:rsidRDefault="000E4E00">
      <w:bookmarkStart w:id="45" w:name="sub_1216"/>
      <w:bookmarkEnd w:id="44"/>
      <w:r>
        <w:t>2.16. Выплаты стиму</w:t>
      </w:r>
      <w:r>
        <w:t>лирующего характера устанавливаются:</w:t>
      </w:r>
    </w:p>
    <w:bookmarkEnd w:id="45"/>
    <w:p w:rsidR="00000000" w:rsidRDefault="000E4E00">
      <w:r>
        <w:t>руководителю организации - распоряжением начальника управления образования администрации города Оренбурга;</w:t>
      </w:r>
    </w:p>
    <w:p w:rsidR="00000000" w:rsidRDefault="000E4E00">
      <w:r>
        <w:t>заместителю руководителя и главному бухгалтеру организации - приказом руководителя организации.</w:t>
      </w:r>
    </w:p>
    <w:p w:rsidR="00000000" w:rsidRDefault="000E4E00"/>
    <w:p w:rsidR="00000000" w:rsidRDefault="000E4E00">
      <w:pPr>
        <w:pStyle w:val="1"/>
      </w:pPr>
      <w:bookmarkStart w:id="46" w:name="sub_1003"/>
      <w:r>
        <w:t>3. Условия оплаты труда педагогических работников организаций</w:t>
      </w:r>
    </w:p>
    <w:bookmarkEnd w:id="46"/>
    <w:p w:rsidR="00000000" w:rsidRDefault="000E4E00"/>
    <w:p w:rsidR="00000000" w:rsidRDefault="000E4E00">
      <w:bookmarkStart w:id="47" w:name="sub_1031"/>
      <w:r>
        <w:t>3.1. Заработная плата педагогических работников организаций состоит из тарифной ставки, выплат за фактически выполненные объемы учебной нагрузки и педагогической работы, повыша</w:t>
      </w:r>
      <w:r>
        <w:t>ющих коэффициентов, выплат компенсационного и стимулирующего характера.</w:t>
      </w:r>
    </w:p>
    <w:p w:rsidR="00000000" w:rsidRDefault="000E4E00">
      <w:bookmarkStart w:id="48" w:name="sub_1032"/>
      <w:bookmarkEnd w:id="47"/>
      <w:r>
        <w:lastRenderedPageBreak/>
        <w:t>3.2. Продолжительность рабочего времени педагогических работников или нормы часов педагогической работы за ставку заработной платы в неделю (в год) определяется в соотв</w:t>
      </w:r>
      <w:r>
        <w:t xml:space="preserve">етствии с положениями </w:t>
      </w:r>
      <w:hyperlink r:id="rId34" w:history="1">
        <w:r>
          <w:rPr>
            <w:rStyle w:val="a4"/>
          </w:rPr>
          <w:t>приказа</w:t>
        </w:r>
      </w:hyperlink>
      <w:r>
        <w:t xml:space="preserve"> Министерства образования и науки Российской Федерации от 22.12.2014 N 1601 "О продолжительности рабочего времени (нормах часов педагогической работы за с</w:t>
      </w:r>
      <w:r>
        <w:t>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000000" w:rsidRDefault="000E4E00">
      <w:bookmarkStart w:id="49" w:name="sub_1033"/>
      <w:bookmarkEnd w:id="48"/>
      <w:r>
        <w:t>3.3. Порядок установления и применения повышающих коэффициентов за уровень образования</w:t>
      </w:r>
      <w:r>
        <w:t xml:space="preserve">, за квалификационную категорию и за специфику работы устанавливаются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настоящему Положению.</w:t>
      </w:r>
    </w:p>
    <w:p w:rsidR="00000000" w:rsidRDefault="000E4E00">
      <w:bookmarkStart w:id="50" w:name="sub_1034"/>
      <w:bookmarkEnd w:id="49"/>
      <w:r>
        <w:t>3.4. Выплаты компенсационного характера педагогическим работникам организации устанавлива</w:t>
      </w:r>
      <w:r>
        <w:t xml:space="preserve">ются в соответствии с </w:t>
      </w:r>
      <w:hyperlink w:anchor="sub_1006" w:history="1">
        <w:r>
          <w:rPr>
            <w:rStyle w:val="a4"/>
          </w:rPr>
          <w:t>разделом 6</w:t>
        </w:r>
      </w:hyperlink>
      <w:r>
        <w:t xml:space="preserve"> настоящего Положения.</w:t>
      </w:r>
    </w:p>
    <w:p w:rsidR="00000000" w:rsidRDefault="000E4E00">
      <w:bookmarkStart w:id="51" w:name="sub_1035"/>
      <w:bookmarkEnd w:id="50"/>
      <w:r>
        <w:t xml:space="preserve">3.5. Выплаты стимулирующего характера педагогическим работникам организации устанавливаются в соответствии с </w:t>
      </w:r>
      <w:hyperlink w:anchor="sub_1007" w:history="1">
        <w:r>
          <w:rPr>
            <w:rStyle w:val="a4"/>
          </w:rPr>
          <w:t>разделом 7</w:t>
        </w:r>
      </w:hyperlink>
      <w:r>
        <w:t xml:space="preserve"> настоящего По</w:t>
      </w:r>
      <w:r>
        <w:t>ложения.</w:t>
      </w:r>
    </w:p>
    <w:bookmarkEnd w:id="51"/>
    <w:p w:rsidR="00000000" w:rsidRDefault="000E4E00"/>
    <w:p w:rsidR="00000000" w:rsidRDefault="000E4E00">
      <w:pPr>
        <w:pStyle w:val="1"/>
      </w:pPr>
      <w:bookmarkStart w:id="52" w:name="sub_1004"/>
      <w:r>
        <w:t>4. Условия оплаты труда иных работников организаций</w:t>
      </w:r>
    </w:p>
    <w:bookmarkEnd w:id="52"/>
    <w:p w:rsidR="00000000" w:rsidRDefault="000E4E00"/>
    <w:p w:rsidR="00000000" w:rsidRDefault="000E4E00">
      <w:bookmarkStart w:id="53" w:name="sub_1041"/>
      <w:r>
        <w:t>4.1. Заработная плата иных работников организаций состоит из тарифной ставки заработной платы, выплат компенсационного и стимулирующего характера.</w:t>
      </w:r>
    </w:p>
    <w:p w:rsidR="00000000" w:rsidRDefault="000E4E00">
      <w:bookmarkStart w:id="54" w:name="sub_1042"/>
      <w:bookmarkEnd w:id="53"/>
      <w:r>
        <w:t xml:space="preserve">4.2. Выплаты компенсационного характера иным работникам организации устанавливаются в соответствии с </w:t>
      </w:r>
      <w:hyperlink w:anchor="sub_1006" w:history="1">
        <w:r>
          <w:rPr>
            <w:rStyle w:val="a4"/>
          </w:rPr>
          <w:t>разделом 6</w:t>
        </w:r>
      </w:hyperlink>
      <w:r>
        <w:t xml:space="preserve"> настоящего Положения.</w:t>
      </w:r>
    </w:p>
    <w:p w:rsidR="00000000" w:rsidRDefault="000E4E00">
      <w:bookmarkStart w:id="55" w:name="sub_1043"/>
      <w:bookmarkEnd w:id="54"/>
      <w:r>
        <w:t>4.3. Выплаты стимулирующего характера иным работникам организации устана</w:t>
      </w:r>
      <w:r>
        <w:t xml:space="preserve">вливаются в соответствии с </w:t>
      </w:r>
      <w:hyperlink w:anchor="sub_1007" w:history="1">
        <w:r>
          <w:rPr>
            <w:rStyle w:val="a4"/>
          </w:rPr>
          <w:t>разделом 7</w:t>
        </w:r>
      </w:hyperlink>
      <w:r>
        <w:t xml:space="preserve"> настоящего Положения.</w:t>
      </w:r>
    </w:p>
    <w:bookmarkEnd w:id="55"/>
    <w:p w:rsidR="00000000" w:rsidRDefault="000E4E00"/>
    <w:p w:rsidR="00000000" w:rsidRDefault="000E4E00">
      <w:pPr>
        <w:pStyle w:val="1"/>
      </w:pPr>
      <w:bookmarkStart w:id="56" w:name="sub_1005"/>
      <w:r>
        <w:t>5. Условия оплаты труда работников организации при сменной работе</w:t>
      </w:r>
    </w:p>
    <w:bookmarkEnd w:id="56"/>
    <w:p w:rsidR="00000000" w:rsidRDefault="000E4E00"/>
    <w:p w:rsidR="00000000" w:rsidRDefault="000E4E00">
      <w:bookmarkStart w:id="57" w:name="sub_1051"/>
      <w:r>
        <w:t>5.1. Работникам организации, работающим посменно, устанавливается сумм</w:t>
      </w:r>
      <w:r>
        <w:t>ированный учет рабочего времени.</w:t>
      </w:r>
    </w:p>
    <w:p w:rsidR="00000000" w:rsidRDefault="000E4E00">
      <w:bookmarkStart w:id="58" w:name="sub_1052"/>
      <w:bookmarkEnd w:id="57"/>
      <w:r>
        <w:t>5.2. Продолжительность учетного периода устанавливается в один календарный год.</w:t>
      </w:r>
    </w:p>
    <w:p w:rsidR="00000000" w:rsidRDefault="000E4E00">
      <w:bookmarkStart w:id="59" w:name="sub_1053"/>
      <w:bookmarkEnd w:id="58"/>
      <w:r>
        <w:t>5.3. Выплата заработной платы работникам, работающим посменно, производится ежемесячно за фактически отработанн</w:t>
      </w:r>
      <w:r>
        <w:t>ое время исходя из стоимости одного часа работы и рассчитывается по формуле:</w:t>
      </w:r>
    </w:p>
    <w:bookmarkEnd w:id="59"/>
    <w:p w:rsidR="00000000" w:rsidRDefault="000E4E00"/>
    <w:p w:rsidR="00000000" w:rsidRDefault="00FA2DE4">
      <w:pPr>
        <w:ind w:firstLine="698"/>
        <w:jc w:val="center"/>
      </w:pPr>
      <w:r>
        <w:rPr>
          <w:noProof/>
        </w:rPr>
        <w:drawing>
          <wp:inline distT="0" distB="0" distL="0" distR="0">
            <wp:extent cx="1809750" cy="29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>, где:</w:t>
      </w:r>
    </w:p>
    <w:p w:rsidR="00000000" w:rsidRDefault="000E4E00"/>
    <w:p w:rsidR="00000000" w:rsidRDefault="00FA2DE4">
      <w:r>
        <w:rPr>
          <w:noProof/>
        </w:rPr>
        <w:drawing>
          <wp:inline distT="0" distB="0" distL="0" distR="0">
            <wp:extent cx="273685" cy="2736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заработная плата работника организации;</w:t>
      </w:r>
    </w:p>
    <w:p w:rsidR="00000000" w:rsidRDefault="00FA2DE4">
      <w:r>
        <w:rPr>
          <w:noProof/>
        </w:rPr>
        <w:drawing>
          <wp:inline distT="0" distB="0" distL="0" distR="0">
            <wp:extent cx="245110" cy="2736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стоимость </w:t>
      </w:r>
      <w:r w:rsidR="000E4E00">
        <w:t>одного часа работы;</w:t>
      </w:r>
    </w:p>
    <w:p w:rsidR="00000000" w:rsidRDefault="00FA2DE4">
      <w:r>
        <w:rPr>
          <w:noProof/>
        </w:rPr>
        <w:drawing>
          <wp:inline distT="0" distB="0" distL="0" distR="0">
            <wp:extent cx="273685" cy="2736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фактическое количество часов, отработанное работником организации в текущем месяце;</w:t>
      </w:r>
    </w:p>
    <w:p w:rsidR="00000000" w:rsidRDefault="00FA2DE4">
      <w:r>
        <w:rPr>
          <w:noProof/>
        </w:rPr>
        <w:drawing>
          <wp:inline distT="0" distB="0" distL="0" distR="0">
            <wp:extent cx="226060" cy="2736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выплаты компенсационного характера;</w:t>
      </w:r>
    </w:p>
    <w:p w:rsidR="00000000" w:rsidRDefault="00FA2DE4">
      <w:r>
        <w:rPr>
          <w:noProof/>
        </w:rPr>
        <w:drawing>
          <wp:inline distT="0" distB="0" distL="0" distR="0">
            <wp:extent cx="282575" cy="2736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вы</w:t>
      </w:r>
      <w:r w:rsidR="000E4E00">
        <w:t>платы стимулирующего характера.</w:t>
      </w:r>
    </w:p>
    <w:p w:rsidR="00000000" w:rsidRDefault="000E4E00"/>
    <w:p w:rsidR="00000000" w:rsidRDefault="000E4E00">
      <w:bookmarkStart w:id="60" w:name="sub_1054"/>
      <w:r>
        <w:t>5.4. Стоимость одного часа работы работника организации, работающего посменно, рассчитывается по формуле:</w:t>
      </w:r>
    </w:p>
    <w:bookmarkEnd w:id="60"/>
    <w:p w:rsidR="00000000" w:rsidRDefault="000E4E00"/>
    <w:p w:rsidR="00000000" w:rsidRDefault="00FA2DE4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169035" cy="2825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>, где:</w:t>
      </w:r>
    </w:p>
    <w:p w:rsidR="00000000" w:rsidRDefault="000E4E00"/>
    <w:p w:rsidR="00000000" w:rsidRDefault="00FA2DE4">
      <w:r>
        <w:rPr>
          <w:noProof/>
        </w:rPr>
        <w:drawing>
          <wp:inline distT="0" distB="0" distL="0" distR="0">
            <wp:extent cx="245110" cy="273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стоимость одного ч</w:t>
      </w:r>
      <w:r w:rsidR="000E4E00">
        <w:t>аса работы исходя из установленной нормы рабочего времени;</w:t>
      </w:r>
    </w:p>
    <w:p w:rsidR="00000000" w:rsidRDefault="00FA2DE4">
      <w:r>
        <w:rPr>
          <w:noProof/>
        </w:rPr>
        <w:drawing>
          <wp:inline distT="0" distB="0" distL="0" distR="0">
            <wp:extent cx="151130" cy="2355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тарифная ставка заработной платы, установленная в размере согласно </w:t>
      </w:r>
      <w:hyperlink w:anchor="sub_1100" w:history="1">
        <w:r w:rsidR="000E4E00">
          <w:rPr>
            <w:rStyle w:val="a4"/>
          </w:rPr>
          <w:t>приложению 1</w:t>
        </w:r>
      </w:hyperlink>
      <w:r w:rsidR="000E4E00">
        <w:t xml:space="preserve"> к настоящему Положению;</w:t>
      </w:r>
    </w:p>
    <w:p w:rsidR="00000000" w:rsidRDefault="00FA2DE4">
      <w:r>
        <w:rPr>
          <w:noProof/>
        </w:rPr>
        <w:drawing>
          <wp:inline distT="0" distB="0" distL="0" distR="0">
            <wp:extent cx="235585" cy="2736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00">
        <w:t xml:space="preserve"> - норма рабочего времени за календарный год, установленная для пятидневной 40-часовой рабочей недели;</w:t>
      </w:r>
    </w:p>
    <w:p w:rsidR="00000000" w:rsidRDefault="000E4E00">
      <w:pPr>
        <w:ind w:left="139" w:firstLine="0"/>
      </w:pPr>
      <w:r>
        <w:rPr>
          <w:color w:val="353842"/>
          <w:shd w:val="clear" w:color="auto" w:fill="F0F0F0"/>
        </w:rPr>
        <w:t>По-видимому, в тексте предыдущего абзаца допущена опечатка. Вместо "</w:t>
      </w:r>
      <w:r w:rsidR="00FA2DE4">
        <w:rPr>
          <w:noProof/>
          <w:color w:val="353842"/>
          <w:shd w:val="clear" w:color="auto" w:fill="F0F0F0"/>
        </w:rPr>
        <w:drawing>
          <wp:inline distT="0" distB="0" distL="0" distR="0">
            <wp:extent cx="235585" cy="2736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53842"/>
          <w:shd w:val="clear" w:color="auto" w:fill="F0F0F0"/>
        </w:rPr>
        <w:t>" имеется в виду "</w:t>
      </w:r>
      <w:r w:rsidR="00FA2DE4">
        <w:rPr>
          <w:noProof/>
          <w:color w:val="353842"/>
          <w:shd w:val="clear" w:color="auto" w:fill="F0F0F0"/>
        </w:rPr>
        <w:drawing>
          <wp:inline distT="0" distB="0" distL="0" distR="0">
            <wp:extent cx="179070" cy="23558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53842"/>
          <w:shd w:val="clear" w:color="auto" w:fill="F0F0F0"/>
        </w:rPr>
        <w:t>"</w:t>
      </w:r>
    </w:p>
    <w:p w:rsidR="00000000" w:rsidRDefault="000E4E00">
      <w:r>
        <w:t>12 - количество месяцев в календарном году.</w:t>
      </w:r>
    </w:p>
    <w:p w:rsidR="00000000" w:rsidRDefault="000E4E00"/>
    <w:p w:rsidR="00000000" w:rsidRDefault="000E4E00">
      <w:bookmarkStart w:id="61" w:name="sub_1055"/>
      <w:r>
        <w:t xml:space="preserve">5.5. По окончании установленного учетного периода при наличии у работника организации часов переработки сверх нормы рабочего времени, </w:t>
      </w:r>
      <w:r>
        <w:t>образовавшейся суммарно за установленный учетный период, работодателем производится перерасчет заработной платы работнику организации исходя из нормы рабочего времени за установленный период с соответствии с законодательством.</w:t>
      </w:r>
    </w:p>
    <w:bookmarkEnd w:id="61"/>
    <w:p w:rsidR="00000000" w:rsidRDefault="000E4E00">
      <w:r>
        <w:t>Перерасчет заработной</w:t>
      </w:r>
      <w:r>
        <w:t xml:space="preserve"> платы производится исходя из размера тарифной ставки заработной платы работника организации.</w:t>
      </w:r>
    </w:p>
    <w:p w:rsidR="00000000" w:rsidRDefault="000E4E00"/>
    <w:p w:rsidR="00000000" w:rsidRDefault="000E4E00">
      <w:pPr>
        <w:pStyle w:val="1"/>
      </w:pPr>
      <w:bookmarkStart w:id="62" w:name="sub_1006"/>
      <w:r>
        <w:t>6. Порядок и условия установления выплат компенсационного характера</w:t>
      </w:r>
    </w:p>
    <w:bookmarkEnd w:id="62"/>
    <w:p w:rsidR="00000000" w:rsidRDefault="000E4E00"/>
    <w:p w:rsidR="00000000" w:rsidRDefault="000E4E00">
      <w:bookmarkStart w:id="63" w:name="sub_1061"/>
      <w:r>
        <w:t>6.1. К выплатам компенсационного характера относятся:</w:t>
      </w:r>
    </w:p>
    <w:p w:rsidR="00000000" w:rsidRDefault="000E4E00">
      <w:bookmarkStart w:id="64" w:name="sub_1611"/>
      <w:bookmarkEnd w:id="63"/>
      <w: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000000" w:rsidRDefault="000E4E00">
      <w:bookmarkStart w:id="65" w:name="sub_1612"/>
      <w:bookmarkEnd w:id="64"/>
      <w:r>
        <w:t xml:space="preserve">2) выплаты за работу в условиях, отклоняющихся от нормальных (при выполнении работ различной квалификации, совмещении </w:t>
      </w:r>
      <w:r>
        <w:t>профессий (должностей), сверхурочной работе, работе в ночное время и при выполнении работ в других условиях, отклоняющихся от нормальных, и выполнении дополнительных работ);</w:t>
      </w:r>
    </w:p>
    <w:p w:rsidR="00000000" w:rsidRDefault="000E4E00">
      <w:bookmarkStart w:id="66" w:name="sub_1613"/>
      <w:bookmarkEnd w:id="65"/>
      <w:r>
        <w:t>3) выплаты за работу в особых климатических условиях.</w:t>
      </w:r>
    </w:p>
    <w:p w:rsidR="00000000" w:rsidRDefault="000E4E00">
      <w:bookmarkStart w:id="67" w:name="sub_1062"/>
      <w:bookmarkEnd w:id="66"/>
      <w:r>
        <w:t xml:space="preserve">6.2. Выплаты работникам организации, занятым на тяжелых работах, работах с вредными и (или) опасными и иными особыми условиями труда, устанавливаются в соответствии с </w:t>
      </w:r>
      <w:hyperlink r:id="rId47" w:history="1">
        <w:r>
          <w:rPr>
            <w:rStyle w:val="a4"/>
          </w:rPr>
          <w:t>трудовым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Федерации.</w:t>
      </w:r>
    </w:p>
    <w:p w:rsidR="00000000" w:rsidRDefault="000E4E00">
      <w:bookmarkStart w:id="68" w:name="sub_1063"/>
      <w:bookmarkEnd w:id="67"/>
      <w:r>
        <w:t>6.3. В случае если на момент введения настоящего Положения в организации проведена специальная оценка условий труда, компенсационные выплаты работникам организаций, занятым на тяжелых работах и работах с</w:t>
      </w:r>
      <w:r>
        <w:t xml:space="preserve"> вредными и опасными условиями труда, устанавливаются в размере, определенном по результатам специальной оценки условий труда.</w:t>
      </w:r>
    </w:p>
    <w:p w:rsidR="00000000" w:rsidRDefault="000E4E00">
      <w:bookmarkStart w:id="69" w:name="sub_1065"/>
      <w:bookmarkEnd w:id="68"/>
      <w:r>
        <w:t xml:space="preserve">6.5. В случае если на момент введения настоящего Положения в организации не проведена специальная оценка условий </w:t>
      </w:r>
      <w:r>
        <w:t xml:space="preserve">труда, компенсационные выплаты работникам организаций, занятым на тяжелых работах и работах с вредными и опасными условиями труда, сохраняются в размере, установленном до введения настоящего Положения, но не превышающем 12 процентов. При этом работодатель </w:t>
      </w:r>
      <w:r>
        <w:t>обязан обеспечить безопасные условия труда посредством проведения специальной оценки условий труда. Если по итогам специальной оценки условий труда рабочее место признается безопасным, то указанные компенсационные выплаты снимаются.</w:t>
      </w:r>
    </w:p>
    <w:p w:rsidR="00000000" w:rsidRDefault="000E4E00">
      <w:bookmarkStart w:id="70" w:name="sub_1066"/>
      <w:bookmarkEnd w:id="69"/>
      <w:r>
        <w:t>6.6. Вы</w:t>
      </w:r>
      <w:r>
        <w:t xml:space="preserve">плата за работу в ночное время, в выходные и </w:t>
      </w:r>
      <w:hyperlink r:id="rId48" w:history="1">
        <w:r>
          <w:rPr>
            <w:rStyle w:val="a4"/>
          </w:rPr>
          <w:t>нерабочие праздничные дни</w:t>
        </w:r>
      </w:hyperlink>
      <w:r>
        <w:t xml:space="preserve"> производятся в соответствии с законодательством Российской Федерации.</w:t>
      </w:r>
    </w:p>
    <w:bookmarkEnd w:id="70"/>
    <w:p w:rsidR="00000000" w:rsidRDefault="000E4E00">
      <w:r>
        <w:t>Размер повышения оплаты труда за</w:t>
      </w:r>
      <w:r>
        <w:t xml:space="preserve"> работу в ночное время (с 22 часов до 6 часов) составляет </w:t>
      </w:r>
      <w:r>
        <w:lastRenderedPageBreak/>
        <w:t>35 процентов ставки заработной платы за каждый час работы в ночное время.</w:t>
      </w:r>
    </w:p>
    <w:p w:rsidR="00000000" w:rsidRDefault="000E4E00">
      <w:bookmarkStart w:id="71" w:name="sub_1067"/>
      <w:r>
        <w:t>6.7. К выплатам за выполнение дополнительных работ относятся выплаты за:</w:t>
      </w:r>
    </w:p>
    <w:bookmarkEnd w:id="71"/>
    <w:p w:rsidR="00000000" w:rsidRDefault="000E4E00">
      <w:r>
        <w:t>классное руководство;</w:t>
      </w:r>
    </w:p>
    <w:p w:rsidR="00000000" w:rsidRDefault="000E4E00">
      <w:r>
        <w:t>проверку тетр</w:t>
      </w:r>
      <w:r>
        <w:t>адей и письменных работ по русскому языку, по родному языку и литературе, по математике, по иностранному языку;</w:t>
      </w:r>
    </w:p>
    <w:p w:rsidR="00000000" w:rsidRDefault="000E4E00">
      <w:r>
        <w:t>заведование учебными кабинетами, учебными мастерскими;</w:t>
      </w:r>
    </w:p>
    <w:p w:rsidR="00000000" w:rsidRDefault="000E4E00">
      <w:r>
        <w:t>работу с реактивами;</w:t>
      </w:r>
    </w:p>
    <w:p w:rsidR="00000000" w:rsidRDefault="000E4E00">
      <w:r>
        <w:t>проведение внеклассной работы по физическому воспитанию;</w:t>
      </w:r>
    </w:p>
    <w:p w:rsidR="00000000" w:rsidRDefault="000E4E00">
      <w:r>
        <w:t>руководство</w:t>
      </w:r>
      <w:r>
        <w:t xml:space="preserve"> учебно-методическими объединениями;</w:t>
      </w:r>
    </w:p>
    <w:p w:rsidR="00000000" w:rsidRDefault="000E4E00">
      <w:r>
        <w:t>заведование учебно-опытными участками (в том числе подсобным хозяйством), пришкольными участками;</w:t>
      </w:r>
    </w:p>
    <w:p w:rsidR="00000000" w:rsidRDefault="000E4E00">
      <w:r>
        <w:t>работу с библиотечным фондом.</w:t>
      </w:r>
    </w:p>
    <w:p w:rsidR="00000000" w:rsidRDefault="000E4E00">
      <w:bookmarkStart w:id="72" w:name="sub_1068"/>
      <w:r>
        <w:t>6.8. Рекомендуемый размер выплат за дополнительную работу:</w:t>
      </w:r>
    </w:p>
    <w:p w:rsidR="00000000" w:rsidRDefault="000E4E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681"/>
      <w:bookmarkEnd w:id="7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"/>
    <w:p w:rsidR="00000000" w:rsidRDefault="000E4E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1 пункта 6.8 настоящего приложения (в редакции </w:t>
      </w:r>
      <w:hyperlink r:id="rId49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администрации города Оренбурга от 29 марта 2021 г. N 563-п) </w:t>
      </w:r>
      <w:hyperlink r:id="rId50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сентября 2020 г.</w:t>
      </w:r>
    </w:p>
    <w:p w:rsidR="00000000" w:rsidRDefault="000E4E00">
      <w:r>
        <w:t>1) за классное руководство:</w:t>
      </w:r>
    </w:p>
    <w:p w:rsidR="00000000" w:rsidRDefault="000E4E00">
      <w:r>
        <w:t>в 1-4 классах - 2 125 рублей к тарифной ставке</w:t>
      </w:r>
      <w:hyperlink w:anchor="sub_16111" w:history="1">
        <w:r>
          <w:rPr>
            <w:rStyle w:val="a4"/>
          </w:rPr>
          <w:t>*</w:t>
        </w:r>
      </w:hyperlink>
      <w:r>
        <w:t>;</w:t>
      </w:r>
    </w:p>
    <w:p w:rsidR="00000000" w:rsidRDefault="000E4E00">
      <w:r>
        <w:t>в 5-11 классах - 2 500 рублей к тарифной ст</w:t>
      </w:r>
      <w:r>
        <w:t>авке</w:t>
      </w:r>
      <w:hyperlink w:anchor="sub_16111" w:history="1">
        <w:r>
          <w:rPr>
            <w:rStyle w:val="a4"/>
          </w:rPr>
          <w:t>*</w:t>
        </w:r>
      </w:hyperlink>
      <w:r>
        <w:t>;</w:t>
      </w:r>
    </w:p>
    <w:p w:rsidR="00000000" w:rsidRDefault="000E4E00">
      <w:r>
        <w:t>Дополнительно за классное руководство в 1-11 классах педагогическим работникам муниципальных общеобразовательных организаций устанавливается ежемесячное денежное вознаграждение в размере 5 000 рублей, но не более двух выпл</w:t>
      </w:r>
      <w:r>
        <w:t>ат ежемесячного денежного вознаграждения одному педагогическому работнику при условии осуществления им классного руководства в двух и более классах.</w:t>
      </w:r>
    </w:p>
    <w:p w:rsidR="00000000" w:rsidRDefault="000E4E00">
      <w:bookmarkStart w:id="74" w:name="sub_1682"/>
      <w:r>
        <w:t>2) за проверку тетрадей и письменных работ - 10 процентов к тарифной ставке в 1-4 классах</w:t>
      </w:r>
      <w:hyperlink w:anchor="sub_16111" w:history="1">
        <w:r>
          <w:rPr>
            <w:rStyle w:val="a4"/>
          </w:rPr>
          <w:t>*</w:t>
        </w:r>
      </w:hyperlink>
      <w:r>
        <w:t>.</w:t>
      </w:r>
    </w:p>
    <w:bookmarkEnd w:id="74"/>
    <w:p w:rsidR="00000000" w:rsidRDefault="000E4E00">
      <w:r>
        <w:t>Педагогическим работникам, ведущим индивидуальные занятия на дому, выплата за проверку тетрадей и письменных работ не осуществляется;</w:t>
      </w:r>
    </w:p>
    <w:p w:rsidR="00000000" w:rsidRDefault="000E4E00">
      <w:bookmarkStart w:id="75" w:name="sub_1683"/>
      <w:r>
        <w:t>3) за проверку тетрадей и письменных работ по русскому языку, родному языку, литератур</w:t>
      </w:r>
      <w:r>
        <w:t>е, родной литературе - 15 процентов к тарифной ставке пропорционально отведенным учебным часам в 5-11 классах</w:t>
      </w:r>
      <w:hyperlink w:anchor="sub_16111" w:history="1">
        <w:r>
          <w:rPr>
            <w:rStyle w:val="a4"/>
          </w:rPr>
          <w:t>*</w:t>
        </w:r>
      </w:hyperlink>
      <w:r>
        <w:t>;</w:t>
      </w:r>
    </w:p>
    <w:p w:rsidR="00000000" w:rsidRDefault="000E4E00">
      <w:bookmarkStart w:id="76" w:name="sub_1684"/>
      <w:bookmarkEnd w:id="75"/>
      <w:r>
        <w:t>4) за проверку тетрадей и письменных работ по математике в 5-11 классах, иностранному языку в 1-11 кл</w:t>
      </w:r>
      <w:r>
        <w:t>ассах - 10 процентов к тарифной ставке пропорционально отведенным учебным часам</w:t>
      </w:r>
      <w:hyperlink w:anchor="sub_16111" w:history="1">
        <w:r>
          <w:rPr>
            <w:rStyle w:val="a4"/>
          </w:rPr>
          <w:t>*</w:t>
        </w:r>
      </w:hyperlink>
      <w:r>
        <w:t>.</w:t>
      </w:r>
    </w:p>
    <w:bookmarkEnd w:id="76"/>
    <w:p w:rsidR="00000000" w:rsidRDefault="000E4E00">
      <w:r>
        <w:t>Педагогическим работникам, обучающим на дому детей 1-4 классов, выплата за проверку тетрадей и письменных работ не осуществляется;</w:t>
      </w:r>
    </w:p>
    <w:p w:rsidR="00000000" w:rsidRDefault="000E4E00">
      <w:bookmarkStart w:id="77" w:name="sub_1685"/>
      <w:r>
        <w:t>5) за работу с реактивами учителям химии - 8,4 процентов к тарифной ставке пропорционально отведенным учебным часам;</w:t>
      </w:r>
    </w:p>
    <w:p w:rsidR="00000000" w:rsidRDefault="000E4E00">
      <w:bookmarkStart w:id="78" w:name="sub_1686"/>
      <w:bookmarkEnd w:id="77"/>
      <w:r>
        <w:t>6) за заведование учебными кабинетами - 10 процентов к тарифной ставке. Количество оплачиваемых кабинетов в основных школах</w:t>
      </w:r>
      <w:r>
        <w:t xml:space="preserve"> - не более 3-х кабинетов; в начальных, средних школах, лицеях, гимназиях - не более 15 кабинетов;</w:t>
      </w:r>
    </w:p>
    <w:p w:rsidR="00000000" w:rsidRDefault="000E4E00">
      <w:bookmarkStart w:id="79" w:name="sub_1687"/>
      <w:bookmarkEnd w:id="78"/>
      <w:r>
        <w:t>7) за проведение внеклассной работы с обучающимися по физическому воспитанию:</w:t>
      </w:r>
    </w:p>
    <w:bookmarkEnd w:id="79"/>
    <w:p w:rsidR="00000000" w:rsidRDefault="000E4E00">
      <w:r>
        <w:t>в организации с количеством классов от 10 до 19 - 25 пр</w:t>
      </w:r>
      <w:r>
        <w:t>оцентов к тарифной ставке;</w:t>
      </w:r>
    </w:p>
    <w:p w:rsidR="00000000" w:rsidRDefault="000E4E00">
      <w:r>
        <w:t>в организации с количеством классов от 20 до 29 - 50 процентов к тарифной ставке;</w:t>
      </w:r>
    </w:p>
    <w:p w:rsidR="00000000" w:rsidRDefault="000E4E00">
      <w:r>
        <w:t>в организации с количеством классов 30 и более - 100 процентов к тарифной ставке;</w:t>
      </w:r>
    </w:p>
    <w:p w:rsidR="00000000" w:rsidRDefault="000E4E00">
      <w:bookmarkStart w:id="80" w:name="sub_1688"/>
      <w:r>
        <w:t>8) за заведование учебными мастерскими при условии наличи</w:t>
      </w:r>
      <w:r>
        <w:t>я комбинированных мастерских:</w:t>
      </w:r>
    </w:p>
    <w:bookmarkEnd w:id="80"/>
    <w:p w:rsidR="00000000" w:rsidRDefault="000E4E00">
      <w:r>
        <w:t>в организации с количеством классов до 10 - 20 процентов к тарифной ставке;</w:t>
      </w:r>
    </w:p>
    <w:p w:rsidR="00000000" w:rsidRDefault="000E4E00">
      <w:r>
        <w:t>в организации с количеством классов от 11 до 20 - 25 процентов к тарифной ставке;</w:t>
      </w:r>
    </w:p>
    <w:p w:rsidR="00000000" w:rsidRDefault="000E4E00">
      <w:r>
        <w:lastRenderedPageBreak/>
        <w:t>в организации с количеством классов от 21 до 29 - 30 процент</w:t>
      </w:r>
      <w:r>
        <w:t>ов к тарифной ставке;</w:t>
      </w:r>
    </w:p>
    <w:p w:rsidR="00000000" w:rsidRDefault="000E4E00">
      <w:r>
        <w:t>в организации с количеством классов 30 и более - 35 процентов к тарифной ставке;</w:t>
      </w:r>
    </w:p>
    <w:p w:rsidR="00000000" w:rsidRDefault="000E4E00">
      <w:bookmarkStart w:id="81" w:name="sub_1689"/>
      <w:r>
        <w:t>9) за исполнение обязанностей мастера простых учебных мастерских:</w:t>
      </w:r>
    </w:p>
    <w:bookmarkEnd w:id="81"/>
    <w:p w:rsidR="00000000" w:rsidRDefault="000E4E00">
      <w:r>
        <w:t>в организации с количеством классов до 10 - 15 процентов к тарифной ста</w:t>
      </w:r>
      <w:r>
        <w:t>вке;</w:t>
      </w:r>
    </w:p>
    <w:p w:rsidR="00000000" w:rsidRDefault="000E4E00">
      <w:r>
        <w:t>в организации с количеством классов с 11 и более - 20 процентов к тарифной ставке;</w:t>
      </w:r>
    </w:p>
    <w:p w:rsidR="00000000" w:rsidRDefault="000E4E00">
      <w:bookmarkStart w:id="82" w:name="sub_16810"/>
      <w:r>
        <w:t>10) за руководство учебно-методическим объединением - 15 процентов к тарифной ставке;</w:t>
      </w:r>
    </w:p>
    <w:p w:rsidR="00000000" w:rsidRDefault="000E4E00">
      <w:bookmarkStart w:id="83" w:name="sub_16811"/>
      <w:bookmarkEnd w:id="82"/>
      <w:r>
        <w:t>11) за заведование учебно-опытными участками (в том чис</w:t>
      </w:r>
      <w:r>
        <w:t>ле подсобным хозяйством), пришкольными участками:</w:t>
      </w:r>
    </w:p>
    <w:bookmarkEnd w:id="83"/>
    <w:p w:rsidR="00000000" w:rsidRDefault="000E4E00">
      <w:r>
        <w:t>учителям в основной школе при условии наличия менее 1 га земли - 15 процентов к тарифной ставке;</w:t>
      </w:r>
    </w:p>
    <w:p w:rsidR="00000000" w:rsidRDefault="000E4E00">
      <w:r>
        <w:t>учителям в начальной, средней школе, лицее, гимназии при условии наличия менее 1 га земли - 20 проце</w:t>
      </w:r>
      <w:r>
        <w:t>нтов к тарифной ставке;</w:t>
      </w:r>
    </w:p>
    <w:p w:rsidR="00000000" w:rsidRDefault="000E4E00">
      <w:r>
        <w:t>учителям в основной, начальной, средней школе, лицее, гимназии при условии наличия 1 га и более земли или теплицы - 25 процентов к тарифной ставке.</w:t>
      </w:r>
    </w:p>
    <w:p w:rsidR="00000000" w:rsidRDefault="000E4E00">
      <w:r>
        <w:t>Выплата производится только в период в</w:t>
      </w:r>
      <w:r>
        <w:t>ыполнения сельскохозяйственных работ обучающимися на этих участках, а при наличии в организациях теплиц и парникового хозяйства - в течение всего года;</w:t>
      </w:r>
    </w:p>
    <w:p w:rsidR="00000000" w:rsidRDefault="000E4E00">
      <w:bookmarkStart w:id="84" w:name="sub_16812"/>
      <w:r>
        <w:t>12) за работу с библиотечным фондом:</w:t>
      </w:r>
    </w:p>
    <w:bookmarkEnd w:id="84"/>
    <w:p w:rsidR="00000000" w:rsidRDefault="000E4E00">
      <w:r>
        <w:t>при условии обслуживания от 200 до 800 экземпляро</w:t>
      </w:r>
      <w:r>
        <w:t>в учебников - 5 процентов к тарифной ставке;</w:t>
      </w:r>
    </w:p>
    <w:p w:rsidR="00000000" w:rsidRDefault="000E4E00">
      <w:r>
        <w:t>при условии обслуживания от 801 до 2000 экземпляров учебников - 10 процентов к тарифной ставке;</w:t>
      </w:r>
    </w:p>
    <w:p w:rsidR="00000000" w:rsidRDefault="000E4E00">
      <w:r>
        <w:t>при условии обслуживания от 2001 до 3500 экземпляров учебников - 15 процентов к тарифной ставке;</w:t>
      </w:r>
    </w:p>
    <w:p w:rsidR="00000000" w:rsidRDefault="000E4E00">
      <w:r>
        <w:t>За каждые последую</w:t>
      </w:r>
      <w:r>
        <w:t>щие 1500 экземпляров учебников рекомендуется устанавливать дополнительно 1 процент к тарифной ставке, но не более 20 процентов в суммарном исчислении.</w:t>
      </w:r>
    </w:p>
    <w:p w:rsidR="00000000" w:rsidRDefault="000E4E00">
      <w:r>
        <w:t>________________________________</w:t>
      </w:r>
    </w:p>
    <w:p w:rsidR="00000000" w:rsidRDefault="000E4E00">
      <w:bookmarkStart w:id="85" w:name="sub_16111"/>
      <w:r>
        <w:t>*в классах с числом обучающихся менее 15 человек выплата произв</w:t>
      </w:r>
      <w:r>
        <w:t>одится в размере 50 процентов от соответствующей выплаты. Данный порядок применяется также при делении классов на подгруппы. Перерасчет размеров выплат в связи с изменением количества обучающихся в течение учебного года не производится (кроме случаев, когд</w:t>
      </w:r>
      <w:r>
        <w:t>а тарификация педагогических работников производится на начало первого и второго полугодий соответствующего учебного года).</w:t>
      </w:r>
    </w:p>
    <w:bookmarkEnd w:id="85"/>
    <w:p w:rsidR="00000000" w:rsidRDefault="000E4E00"/>
    <w:p w:rsidR="00000000" w:rsidRDefault="000E4E00">
      <w:pPr>
        <w:pStyle w:val="1"/>
      </w:pPr>
      <w:bookmarkStart w:id="86" w:name="sub_1007"/>
      <w:r>
        <w:t>7. Порядок и условия установления выплат стимулирующего характера</w:t>
      </w:r>
    </w:p>
    <w:bookmarkEnd w:id="86"/>
    <w:p w:rsidR="00000000" w:rsidRDefault="000E4E00"/>
    <w:p w:rsidR="00000000" w:rsidRDefault="000E4E00">
      <w:bookmarkStart w:id="87" w:name="sub_1071"/>
      <w:r>
        <w:t xml:space="preserve">7.1. К выплатам стимулирующего </w:t>
      </w:r>
      <w:r>
        <w:t>характера относятся выплаты, направленные на стимулирование работника, ориентированного на результат:</w:t>
      </w:r>
    </w:p>
    <w:bookmarkEnd w:id="87"/>
    <w:p w:rsidR="00000000" w:rsidRDefault="000E4E00">
      <w:r>
        <w:t>выплаты за интенсивность и высокие результаты работы;</w:t>
      </w:r>
    </w:p>
    <w:p w:rsidR="00000000" w:rsidRDefault="000E4E00">
      <w:r>
        <w:t>выплаты за стаж непрерывной работы в организации;</w:t>
      </w:r>
    </w:p>
    <w:p w:rsidR="00000000" w:rsidRDefault="000E4E00">
      <w:r>
        <w:t>выплаты за качество выполняемых работ;</w:t>
      </w:r>
    </w:p>
    <w:p w:rsidR="00000000" w:rsidRDefault="000E4E00">
      <w:r>
        <w:t>вып</w:t>
      </w:r>
      <w:r>
        <w:t>латы за наличие ученой степени, почетных званий;</w:t>
      </w:r>
    </w:p>
    <w:p w:rsidR="00000000" w:rsidRDefault="000E4E00">
      <w:r>
        <w:t>премиальные выплаты.</w:t>
      </w:r>
    </w:p>
    <w:p w:rsidR="00000000" w:rsidRDefault="000E4E00">
      <w:bookmarkStart w:id="88" w:name="sub_1072"/>
      <w:r>
        <w:t>7.2. Выплаты за наличие ученой степени, почетных званий устанавливаются на основании документов государственного образца о присуждении ученых степеней (подлинников или нотариальн</w:t>
      </w:r>
      <w:r>
        <w:t>о заверенных копий диплома кандидата наук, доктора наук), а также документов (подлинников или нотариально заверенных копий), подтверждающих присвоение почетных званий, в следующем размере:</w:t>
      </w:r>
    </w:p>
    <w:bookmarkEnd w:id="88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5"/>
        <w:gridCol w:w="3227"/>
        <w:gridCol w:w="3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lastRenderedPageBreak/>
              <w:t>Ученая степень, почетное звание</w:t>
            </w:r>
            <w:hyperlink w:anchor="sub_17112" w:history="1">
              <w:r>
                <w:rPr>
                  <w:rStyle w:val="a4"/>
                </w:rPr>
                <w:t>*(2</w:t>
              </w:r>
              <w:r>
                <w:rPr>
                  <w:rStyle w:val="a4"/>
                </w:rPr>
                <w:t>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доктор наук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>кандидат наук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"народный", "заслуженный"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>0,2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0,2</w:t>
            </w:r>
          </w:p>
        </w:tc>
      </w:tr>
    </w:tbl>
    <w:p w:rsidR="00000000" w:rsidRDefault="000E4E00"/>
    <w:p w:rsidR="00000000" w:rsidRDefault="000E4E00">
      <w:bookmarkStart w:id="89" w:name="sub_17112"/>
      <w:r>
        <w:t>(2) при условии соответствия ученой степени и почетного звания профилю педагогической деятельности или преподаваемых дисциплин</w:t>
      </w:r>
    </w:p>
    <w:p w:rsidR="00000000" w:rsidRDefault="000E4E00">
      <w:bookmarkStart w:id="90" w:name="sub_1073"/>
      <w:bookmarkEnd w:id="89"/>
      <w:r>
        <w:t>7.3. Выплаты за наличие ученой степени, почетных званий устанавливаются:</w:t>
      </w:r>
    </w:p>
    <w:p w:rsidR="00000000" w:rsidRDefault="000E4E00">
      <w:bookmarkStart w:id="91" w:name="sub_1731"/>
      <w:bookmarkEnd w:id="90"/>
      <w:r>
        <w:t>1) руководителю организации к должностному окладу без учета коэффициента масштаба и уровня управления и коэффициента численности обучающихся;</w:t>
      </w:r>
    </w:p>
    <w:p w:rsidR="00000000" w:rsidRDefault="000E4E00">
      <w:bookmarkStart w:id="92" w:name="sub_1732"/>
      <w:bookmarkEnd w:id="91"/>
      <w:r>
        <w:t>2) педаго</w:t>
      </w:r>
      <w:r>
        <w:t>гическим работникам к тарифной ставке без учета повышающих коэффициентов пропорционально нагрузке.</w:t>
      </w:r>
    </w:p>
    <w:p w:rsidR="00000000" w:rsidRDefault="000E4E00">
      <w:bookmarkStart w:id="93" w:name="sub_1074"/>
      <w:bookmarkEnd w:id="92"/>
      <w:r>
        <w:t xml:space="preserve">7.4. Право на установление руководителю и педагогическим работникам организации выплаты за наличие ученой степени, почетных званий возникает </w:t>
      </w:r>
      <w:r>
        <w:t>в следующие сроки:</w:t>
      </w:r>
    </w:p>
    <w:bookmarkEnd w:id="93"/>
    <w:p w:rsidR="00000000" w:rsidRDefault="000E4E00">
      <w:r>
        <w:t>при присвоении почетного звания - со дня присвоения;</w:t>
      </w:r>
    </w:p>
    <w:p w:rsidR="00000000" w:rsidRDefault="000E4E00">
      <w:r>
        <w:t>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000000" w:rsidRDefault="000E4E00">
      <w:bookmarkStart w:id="94" w:name="sub_1075"/>
      <w:r>
        <w:t>7.5. П</w:t>
      </w:r>
      <w:r>
        <w:t>ри наступлении у руководителя и педагогических работников организации права на установление выплаты за наличие ученой степени, почетных званий в период их пребывания в ежегодном или ином отпуске, в период их временной нетрудоспособности, а также в другие п</w:t>
      </w:r>
      <w:r>
        <w:t>ериоды, в течении которых за ними сохраняется средняя заработная плата, изменение размера оплаты труда осуществляется по окончании указанных периодов.</w:t>
      </w:r>
    </w:p>
    <w:p w:rsidR="00000000" w:rsidRDefault="000E4E00">
      <w:bookmarkStart w:id="95" w:name="sub_1076"/>
      <w:bookmarkEnd w:id="94"/>
      <w:r>
        <w:t>7.6. К премиальным выплатам относятся:</w:t>
      </w:r>
    </w:p>
    <w:bookmarkEnd w:id="95"/>
    <w:p w:rsidR="00000000" w:rsidRDefault="000E4E00">
      <w:r>
        <w:t>премия по итогам работы;</w:t>
      </w:r>
    </w:p>
    <w:p w:rsidR="00000000" w:rsidRDefault="000E4E00">
      <w:r>
        <w:t>премия за выполне</w:t>
      </w:r>
      <w:r>
        <w:t>ние особо важных и срочных работ (сложных заданий), которая выплачивается работникам единовременно по итогам выполнения особо важных и срочных работ (сложных заданий) с целью поощрения работников за оперативность и качественный результат труда.</w:t>
      </w:r>
    </w:p>
    <w:p w:rsidR="00000000" w:rsidRDefault="000E4E00">
      <w:r>
        <w:t>Конкретный размер выплаты стимулирующего характера по итогам работы может определяться как в процентах к должностному окладу (тарифной ставке), так и в абсолютном размере.</w:t>
      </w:r>
    </w:p>
    <w:p w:rsidR="00000000" w:rsidRDefault="000E4E00">
      <w:bookmarkStart w:id="96" w:name="sub_1077"/>
      <w:r>
        <w:t>7.7. Выплаты стимулирующего характера производятся по решению руководителя о</w:t>
      </w:r>
      <w:r>
        <w:t>рганизации в пределах бюджетных средств, предусмотренных на оплату труда работников организации, а также средств от иной приносящей доход деятельности, направленных учреждением на оплату труда работников.</w:t>
      </w:r>
    </w:p>
    <w:p w:rsidR="00000000" w:rsidRDefault="000E4E00">
      <w:bookmarkStart w:id="97" w:name="sub_1078"/>
      <w:bookmarkEnd w:id="96"/>
      <w:r>
        <w:t>7.8. Выплаты стимулирующего характе</w:t>
      </w:r>
      <w:r>
        <w:t>ра, установленные в процентном отношении, применяются к должностному окладу (тарифной ставке) без учета повышающих коэффициентов.</w:t>
      </w:r>
    </w:p>
    <w:p w:rsidR="00000000" w:rsidRDefault="000E4E00">
      <w:bookmarkStart w:id="98" w:name="sub_1079"/>
      <w:bookmarkEnd w:id="97"/>
      <w:r>
        <w:t xml:space="preserve">7.9. Выплаты стимулирующего характера устанавливаются с учетом формализованных показателей и критериев оценки </w:t>
      </w:r>
      <w:r>
        <w:t>эффективности деятельности работников и производятся по решению руководителя организации.</w:t>
      </w:r>
    </w:p>
    <w:p w:rsidR="00000000" w:rsidRDefault="000E4E00">
      <w:bookmarkStart w:id="99" w:name="sub_1710"/>
      <w:bookmarkEnd w:id="98"/>
      <w:r>
        <w:t>7.10. Разработка формализованных показателей и критериев оценки эффективности деятельности работников осуществляются организацией с учетом следующих п</w:t>
      </w:r>
      <w:r>
        <w:t>ринципов:</w:t>
      </w:r>
    </w:p>
    <w:p w:rsidR="00000000" w:rsidRDefault="000E4E00">
      <w:bookmarkStart w:id="100" w:name="sub_17101"/>
      <w:bookmarkEnd w:id="99"/>
      <w: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000000" w:rsidRDefault="000E4E00">
      <w:bookmarkStart w:id="101" w:name="sub_17102"/>
      <w:bookmarkEnd w:id="100"/>
      <w:r>
        <w:t>2) предсказуемость - работник долж</w:t>
      </w:r>
      <w:r>
        <w:t>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000000" w:rsidRDefault="000E4E00">
      <w:bookmarkStart w:id="102" w:name="sub_17103"/>
      <w:bookmarkEnd w:id="101"/>
      <w:r>
        <w:t>3) адекватность - вознаграждение должно быть адекватно трудовому вкладу каждого работника в результ</w:t>
      </w:r>
      <w:r>
        <w:t>ат коллективного труда;</w:t>
      </w:r>
    </w:p>
    <w:p w:rsidR="00000000" w:rsidRDefault="000E4E00">
      <w:bookmarkStart w:id="103" w:name="sub_17104"/>
      <w:bookmarkEnd w:id="102"/>
      <w:r>
        <w:t>4) своевременность - вознаграждение должно следовать за достижением результатов;</w:t>
      </w:r>
    </w:p>
    <w:p w:rsidR="00000000" w:rsidRDefault="000E4E00">
      <w:bookmarkStart w:id="104" w:name="sub_17105"/>
      <w:bookmarkEnd w:id="103"/>
      <w:r>
        <w:t xml:space="preserve">5) прозрачность - правила определения вознаграждения должны быть понятны каждому </w:t>
      </w:r>
      <w:r>
        <w:lastRenderedPageBreak/>
        <w:t>работнику.</w:t>
      </w:r>
    </w:p>
    <w:p w:rsidR="00000000" w:rsidRDefault="000E4E00">
      <w:bookmarkStart w:id="105" w:name="sub_1711"/>
      <w:bookmarkEnd w:id="104"/>
      <w:r>
        <w:t xml:space="preserve">7.11. </w:t>
      </w:r>
      <w:r>
        <w:t>Выплаты стимулирующего характера руководителю организации устанавливаются начальником управления образования администрации города Оренбурга с учетом показателей эффективности и результативности деятельности руководителя организации.</w:t>
      </w:r>
    </w:p>
    <w:bookmarkEnd w:id="105"/>
    <w:p w:rsidR="00000000" w:rsidRDefault="000E4E00">
      <w:r>
        <w:t>Показателями эф</w:t>
      </w:r>
      <w:r>
        <w:t>фективности и результативности деятельности руководителя организации являются:</w:t>
      </w:r>
    </w:p>
    <w:p w:rsidR="00000000" w:rsidRDefault="000E4E00">
      <w:bookmarkStart w:id="106" w:name="sub_17111"/>
      <w:r>
        <w:t>1) выполнение показателей муниципального задания;</w:t>
      </w:r>
    </w:p>
    <w:p w:rsidR="00000000" w:rsidRDefault="000E4E00">
      <w:bookmarkStart w:id="107" w:name="sub_17113"/>
      <w:bookmarkEnd w:id="106"/>
      <w:r>
        <w:t>2) оценка качества финансового менеджмента;</w:t>
      </w:r>
    </w:p>
    <w:p w:rsidR="00000000" w:rsidRDefault="000E4E00">
      <w:bookmarkStart w:id="108" w:name="sub_17114"/>
      <w:bookmarkEnd w:id="107"/>
      <w:r>
        <w:t>3) оценка эффективности управления пер</w:t>
      </w:r>
      <w:r>
        <w:t>соналом;</w:t>
      </w:r>
    </w:p>
    <w:p w:rsidR="00000000" w:rsidRDefault="000E4E00">
      <w:bookmarkStart w:id="109" w:name="sub_17115"/>
      <w:bookmarkEnd w:id="108"/>
      <w:r>
        <w:t>4) оценка исполнительской дисциплины.</w:t>
      </w:r>
    </w:p>
    <w:p w:rsidR="00000000" w:rsidRDefault="000E4E00">
      <w:bookmarkStart w:id="110" w:name="sub_1712"/>
      <w:bookmarkEnd w:id="109"/>
      <w:r>
        <w:t>7.12. Премия по итогам работы руководителю организации выплачивается на основании распоряжения начальника управления образования администрации города Оренбурга. Условия и кри</w:t>
      </w:r>
      <w:r>
        <w:t>терии премирования руководителя организации устанавливаются в трудовом договоре (дополнительных соглашениях к трудовому договору) с руководителем организации.</w:t>
      </w:r>
    </w:p>
    <w:p w:rsidR="00000000" w:rsidRDefault="000E4E00">
      <w:bookmarkStart w:id="111" w:name="sub_1713"/>
      <w:bookmarkEnd w:id="110"/>
      <w:r>
        <w:t>7.13. При премировании руководителя организации необходимо использовать показател</w:t>
      </w:r>
      <w:r>
        <w:t>и эффективности деятельности организаций, которые должны характеризовать:</w:t>
      </w:r>
    </w:p>
    <w:p w:rsidR="00000000" w:rsidRDefault="000E4E00">
      <w:bookmarkStart w:id="112" w:name="sub_17131"/>
      <w:bookmarkEnd w:id="111"/>
      <w:r>
        <w:t>1) основную деятельность организации, заключающуюся в:</w:t>
      </w:r>
    </w:p>
    <w:bookmarkEnd w:id="112"/>
    <w:p w:rsidR="00000000" w:rsidRDefault="000E4E00">
      <w:r>
        <w:t>выполнении муниципального задания;</w:t>
      </w:r>
    </w:p>
    <w:p w:rsidR="00000000" w:rsidRDefault="000E4E00">
      <w:r>
        <w:t>обеспечении комплексной безопасности организации;</w:t>
      </w:r>
    </w:p>
    <w:p w:rsidR="00000000" w:rsidRDefault="000E4E00">
      <w:r>
        <w:t>осуществлении ин</w:t>
      </w:r>
      <w:r>
        <w:t>новационной деятельности;</w:t>
      </w:r>
    </w:p>
    <w:p w:rsidR="00000000" w:rsidRDefault="000E4E00">
      <w:r>
        <w:t>обеспечении информационной открытости организации;</w:t>
      </w:r>
    </w:p>
    <w:p w:rsidR="00000000" w:rsidRDefault="000E4E00">
      <w:r>
        <w:t>реализации программ, направленных на работу с одаренными детьми;</w:t>
      </w:r>
    </w:p>
    <w:p w:rsidR="00000000" w:rsidRDefault="000E4E00">
      <w:r>
        <w:t>реализации программ по сохранению и укреплению здоровья детей;</w:t>
      </w:r>
    </w:p>
    <w:p w:rsidR="00000000" w:rsidRDefault="000E4E00">
      <w:r>
        <w:t>организации физкультурно-оздоровительной и спортивн</w:t>
      </w:r>
      <w:r>
        <w:t>ой работы;</w:t>
      </w:r>
    </w:p>
    <w:p w:rsidR="00000000" w:rsidRDefault="000E4E00">
      <w:r>
        <w:t>реализации программ дополнительного образования на базе образовательной организации;</w:t>
      </w:r>
    </w:p>
    <w:p w:rsidR="00000000" w:rsidRDefault="000E4E00">
      <w:r>
        <w:t>реализации профильного обучения, предпрофильной подготовки или создание условий для реализации обучающимися индивидуальных учебных планов;</w:t>
      </w:r>
    </w:p>
    <w:p w:rsidR="00000000" w:rsidRDefault="000E4E00">
      <w:r>
        <w:t>обеспечении реализаци</w:t>
      </w:r>
      <w:r>
        <w:t>и "дорожной карты" по экономической деятельности;</w:t>
      </w:r>
    </w:p>
    <w:p w:rsidR="00000000" w:rsidRDefault="000E4E00">
      <w:r>
        <w:t>динамике индивидуальных образовательных результатов обучающихся;</w:t>
      </w:r>
    </w:p>
    <w:p w:rsidR="00000000" w:rsidRDefault="000E4E00">
      <w:r>
        <w:t>сохранности контингента обучающихся;</w:t>
      </w:r>
    </w:p>
    <w:p w:rsidR="00000000" w:rsidRDefault="000E4E00">
      <w:r>
        <w:t>наличии выпускников, поступивших в федеральное государств</w:t>
      </w:r>
      <w:r>
        <w:t>енное бюджетное образовательное учреждение высшего образования "Оренбургский государственный педагогический университет";</w:t>
      </w:r>
    </w:p>
    <w:p w:rsidR="00000000" w:rsidRDefault="000E4E00">
      <w:r>
        <w:t>реализации мероприятий по профилактике правонарушений у несовершеннолетних;</w:t>
      </w:r>
    </w:p>
    <w:p w:rsidR="00000000" w:rsidRDefault="000E4E00">
      <w:r>
        <w:t xml:space="preserve">соответствии деятельности организации требованиям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в сфере образования;</w:t>
      </w:r>
    </w:p>
    <w:p w:rsidR="00000000" w:rsidRDefault="000E4E00">
      <w:r>
        <w:t>состоянии нормативной правовой базы;</w:t>
      </w:r>
    </w:p>
    <w:p w:rsidR="00000000" w:rsidRDefault="000E4E00">
      <w:r>
        <w:t>состоянии материально-технической базы организации;</w:t>
      </w:r>
    </w:p>
    <w:p w:rsidR="00000000" w:rsidRDefault="000E4E00">
      <w:bookmarkStart w:id="113" w:name="sub_17132"/>
      <w:r>
        <w:t>2) финансово-экономическую деятельность и исполнительск</w:t>
      </w:r>
      <w:r>
        <w:t>ую дисциплину организации, касающиеся:</w:t>
      </w:r>
    </w:p>
    <w:bookmarkEnd w:id="113"/>
    <w:p w:rsidR="00000000" w:rsidRDefault="000E4E00">
      <w:r>
        <w:t>своевременности представления отчетов о результатах деятельности организации;</w:t>
      </w:r>
    </w:p>
    <w:p w:rsidR="00000000" w:rsidRDefault="000E4E00">
      <w:r>
        <w:t>целевого и эффективного использования бюджетных средств, в том числе в рамках муниципального задания;</w:t>
      </w:r>
    </w:p>
    <w:p w:rsidR="00000000" w:rsidRDefault="000E4E00">
      <w:r>
        <w:t>снижения (отсутствия) необос</w:t>
      </w:r>
      <w:r>
        <w:t>нованной кредиторской задолженности;</w:t>
      </w:r>
    </w:p>
    <w:p w:rsidR="00000000" w:rsidRDefault="000E4E00">
      <w:r>
        <w:t>целевого и эффективного использования внебюджетных средств;</w:t>
      </w:r>
    </w:p>
    <w:p w:rsidR="00000000" w:rsidRDefault="000E4E00">
      <w:r>
        <w:t>оценки качества финансового менеджмента;</w:t>
      </w:r>
    </w:p>
    <w:p w:rsidR="00000000" w:rsidRDefault="000E4E00">
      <w:r>
        <w:t xml:space="preserve">доведения средней заработной платы соответствующих категорий работников до установленных соотношений в соответствии с </w:t>
      </w:r>
      <w:r>
        <w:t>"дорожной картой" по экономической деятельности;</w:t>
      </w:r>
    </w:p>
    <w:p w:rsidR="00000000" w:rsidRDefault="000E4E00">
      <w:bookmarkStart w:id="114" w:name="sub_17133"/>
      <w:r>
        <w:t>3) деятельность организации, направленную на работу с персоналом, в отношении:</w:t>
      </w:r>
    </w:p>
    <w:bookmarkEnd w:id="114"/>
    <w:p w:rsidR="00000000" w:rsidRDefault="000E4E00">
      <w:r>
        <w:t>оценки эффективности управления персоналом;</w:t>
      </w:r>
    </w:p>
    <w:p w:rsidR="00000000" w:rsidRDefault="000E4E00">
      <w:r>
        <w:t>оценки исполнительской дисциплины;</w:t>
      </w:r>
    </w:p>
    <w:p w:rsidR="00000000" w:rsidRDefault="000E4E00">
      <w:r>
        <w:lastRenderedPageBreak/>
        <w:t xml:space="preserve">укомплектованности организации </w:t>
      </w:r>
      <w:r>
        <w:t>работниками основного персонала;</w:t>
      </w:r>
    </w:p>
    <w:p w:rsidR="00000000" w:rsidRDefault="000E4E00">
      <w:r>
        <w:t>соблюдения сроков повышения квалификации работников организации;</w:t>
      </w:r>
    </w:p>
    <w:p w:rsidR="00000000" w:rsidRDefault="000E4E00">
      <w:r>
        <w:t>реализации мероприятий по привлечению молодых педагогов;</w:t>
      </w:r>
    </w:p>
    <w:p w:rsidR="00000000" w:rsidRDefault="000E4E00">
      <w:r>
        <w:t>кадрового обеспечения.</w:t>
      </w:r>
    </w:p>
    <w:p w:rsidR="00000000" w:rsidRDefault="000E4E00">
      <w:bookmarkStart w:id="115" w:name="sub_1714"/>
      <w:r>
        <w:t>7.14. Единовременная премия за выполнение особо важных и сложных задан</w:t>
      </w:r>
      <w:r>
        <w:t>ий устанавливается наиболее отличившимся руководителям организаций и выплачивается исходя из следующих критериев:</w:t>
      </w:r>
    </w:p>
    <w:p w:rsidR="00000000" w:rsidRDefault="000E4E00">
      <w:bookmarkStart w:id="116" w:name="sub_17141"/>
      <w:bookmarkEnd w:id="115"/>
      <w:r>
        <w:t>1) выполнение особо важных и сложных заданий, имеющих большую значимость, в случае эффективности достигнутых результатов с уч</w:t>
      </w:r>
      <w:r>
        <w:t>етом личного вклада в общие результаты работы;</w:t>
      </w:r>
    </w:p>
    <w:p w:rsidR="00000000" w:rsidRDefault="000E4E00">
      <w:bookmarkStart w:id="117" w:name="sub_17142"/>
      <w:bookmarkEnd w:id="116"/>
      <w:r>
        <w:t>2) проявление высокого профессионализма и оперативности при исполнении заданий и поручений управления образования администрации города Оренбурга;</w:t>
      </w:r>
    </w:p>
    <w:p w:rsidR="00000000" w:rsidRDefault="000E4E00">
      <w:bookmarkStart w:id="118" w:name="sub_17143"/>
      <w:bookmarkEnd w:id="117"/>
      <w:r>
        <w:t>3) внедрение новых форм и м</w:t>
      </w:r>
      <w:r>
        <w:t>етодов работы, способствующих достижению высоких конечных результатов;</w:t>
      </w:r>
    </w:p>
    <w:p w:rsidR="00000000" w:rsidRDefault="000E4E00">
      <w:bookmarkStart w:id="119" w:name="sub_17144"/>
      <w:bookmarkEnd w:id="118"/>
      <w:r>
        <w:t>4) проведение мероприятий, направленных на получение дохода от иной приносящей доход деятельности организации;</w:t>
      </w:r>
    </w:p>
    <w:p w:rsidR="00000000" w:rsidRDefault="000E4E00">
      <w:bookmarkStart w:id="120" w:name="sub_17145"/>
      <w:bookmarkEnd w:id="119"/>
      <w:r>
        <w:t>5) организация и проведение мероприяти</w:t>
      </w:r>
      <w:r>
        <w:t>й, направленных на повышение авторитета и улучшение имиджа организации.</w:t>
      </w:r>
    </w:p>
    <w:p w:rsidR="00000000" w:rsidRDefault="000E4E00">
      <w:bookmarkStart w:id="121" w:name="sub_1715"/>
      <w:bookmarkEnd w:id="120"/>
      <w:r>
        <w:t>7.15. Решение об установлении руководителю организации единовременной премии за выполнение особо важных заданий принимается начальником управления образования админист</w:t>
      </w:r>
      <w:r>
        <w:t>рации города Оренбурга.</w:t>
      </w:r>
    </w:p>
    <w:p w:rsidR="00000000" w:rsidRDefault="000E4E00">
      <w:bookmarkStart w:id="122" w:name="sub_1716"/>
      <w:bookmarkEnd w:id="121"/>
      <w:r>
        <w:t>7.16. При отсутствии финансовых средств выплаты стимулирующего характера приостанавливаются либо размер выплат пересматривается, за исключением стимулирующих выплат работникам, размер окладов (должностных окладов) ко</w:t>
      </w:r>
      <w:r>
        <w:t xml:space="preserve">торых менее </w:t>
      </w:r>
      <w:hyperlink r:id="rId52" w:history="1">
        <w:r>
          <w:rPr>
            <w:rStyle w:val="a4"/>
          </w:rPr>
          <w:t>минимального размера оплаты труда</w:t>
        </w:r>
      </w:hyperlink>
      <w:r>
        <w:t>:</w:t>
      </w:r>
    </w:p>
    <w:bookmarkEnd w:id="122"/>
    <w:p w:rsidR="00000000" w:rsidRDefault="000E4E00">
      <w:r>
        <w:t>руководителю организации - распоряжением начальника управления образования администрации города Оренбурга;</w:t>
      </w:r>
    </w:p>
    <w:p w:rsidR="00000000" w:rsidRDefault="000E4E00">
      <w:r>
        <w:t>заместителю руководителя, главному бухгалтеру, педагогическим и иным работникам организации - приказом руководителя организации.</w:t>
      </w:r>
    </w:p>
    <w:p w:rsidR="00000000" w:rsidRDefault="000E4E00"/>
    <w:p w:rsidR="00000000" w:rsidRDefault="000E4E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апреля 2021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29 марта 2021 г. N 563-п</w:t>
      </w:r>
    </w:p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4E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E4E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приложения 1 (в редакции </w:t>
      </w:r>
      <w:hyperlink r:id="rId55" w:history="1">
        <w:r>
          <w:rPr>
            <w:rStyle w:val="a4"/>
            <w:shd w:val="clear" w:color="auto" w:fill="F0F0F0"/>
          </w:rPr>
          <w:t xml:space="preserve">подпункта 6 пункта 1 </w:t>
        </w:r>
      </w:hyperlink>
      <w:r>
        <w:rPr>
          <w:shd w:val="clear" w:color="auto" w:fill="F0F0F0"/>
        </w:rPr>
        <w:t xml:space="preserve">постановления администрации города Оренбурга от 29 марта 2021 г. N 563-п) </w:t>
      </w:r>
      <w:hyperlink r:id="rId56" w:history="1">
        <w:r>
          <w:rPr>
            <w:rStyle w:val="a4"/>
            <w:shd w:val="clear" w:color="auto" w:fill="F0F0F0"/>
          </w:rPr>
          <w:t>распространяетс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на правоотношения, возникшие с 1 марта 2021 г.</w:t>
      </w:r>
    </w:p>
    <w:p w:rsidR="00000000" w:rsidRDefault="000E4E0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8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об установлении</w:t>
      </w:r>
      <w:r>
        <w:rPr>
          <w:rStyle w:val="a3"/>
          <w:rFonts w:ascii="Arial" w:hAnsi="Arial" w:cs="Arial"/>
        </w:rPr>
        <w:br/>
        <w:t>системы оплаты труда работников</w:t>
      </w:r>
      <w:r>
        <w:rPr>
          <w:rStyle w:val="a3"/>
          <w:rFonts w:ascii="Arial" w:hAnsi="Arial" w:cs="Arial"/>
        </w:rPr>
        <w:br/>
        <w:t>муниципальных общеобразовательных</w:t>
      </w:r>
      <w:r>
        <w:rPr>
          <w:rStyle w:val="a3"/>
          <w:rFonts w:ascii="Arial" w:hAnsi="Arial" w:cs="Arial"/>
        </w:rPr>
        <w:br/>
        <w:t>организаций города Оренбурга,</w:t>
      </w:r>
      <w:r>
        <w:rPr>
          <w:rStyle w:val="a3"/>
          <w:rFonts w:ascii="Arial" w:hAnsi="Arial" w:cs="Arial"/>
        </w:rPr>
        <w:br/>
        <w:t>подведомственных управлению образования</w:t>
      </w:r>
      <w:r>
        <w:rPr>
          <w:rStyle w:val="a3"/>
          <w:rFonts w:ascii="Arial" w:hAnsi="Arial" w:cs="Arial"/>
        </w:rPr>
        <w:br/>
        <w:t>адми</w:t>
      </w:r>
      <w:r>
        <w:rPr>
          <w:rStyle w:val="a3"/>
          <w:rFonts w:ascii="Arial" w:hAnsi="Arial" w:cs="Arial"/>
        </w:rPr>
        <w:t>нистрации города Оренбурга</w:t>
      </w:r>
    </w:p>
    <w:p w:rsidR="00000000" w:rsidRDefault="000E4E00"/>
    <w:p w:rsidR="00000000" w:rsidRDefault="000E4E00">
      <w:pPr>
        <w:pStyle w:val="1"/>
      </w:pPr>
      <w:r>
        <w:t>Размеры тарифных ставок</w:t>
      </w:r>
      <w:r>
        <w:br/>
        <w:t>заработной платы работников 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</w:t>
      </w:r>
      <w:r>
        <w:t>ния</w:t>
      </w:r>
    </w:p>
    <w:p w:rsidR="00000000" w:rsidRDefault="000E4E00">
      <w:pPr>
        <w:pStyle w:val="ab"/>
      </w:pPr>
      <w:r>
        <w:lastRenderedPageBreak/>
        <w:t>С изменениями и дополнениями от:</w:t>
      </w:r>
    </w:p>
    <w:p w:rsidR="00000000" w:rsidRDefault="000E4E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марта 2021 г.</w:t>
      </w:r>
    </w:p>
    <w:p w:rsidR="00000000" w:rsidRDefault="000E4E00"/>
    <w:p w:rsidR="00000000" w:rsidRDefault="000E4E00">
      <w:r>
        <w:t>Размеры тарифных ставок заработной платы работников организаций устанавливаются:</w:t>
      </w:r>
    </w:p>
    <w:p w:rsidR="00000000" w:rsidRDefault="000E4E00">
      <w:bookmarkStart w:id="124" w:name="sub_1101"/>
      <w:r>
        <w:t xml:space="preserve">1. На основе отнесения занимаемых ими должностей к </w:t>
      </w:r>
      <w:hyperlink r:id="rId57" w:history="1">
        <w:r>
          <w:rPr>
            <w:rStyle w:val="a4"/>
          </w:rPr>
          <w:t>профессиональным квалификационным группам</w:t>
        </w:r>
      </w:hyperlink>
      <w:r>
        <w:t xml:space="preserve"> (далее - ПКГ), утвержденным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05.05.2008 N 216</w:t>
      </w:r>
      <w:r>
        <w:t>н "Об утверждении профессиональных квалификационных групп должностей работников образования":</w:t>
      </w:r>
    </w:p>
    <w:bookmarkEnd w:id="124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5729"/>
        <w:gridCol w:w="1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Должности (профессии), отнесенные к </w:t>
            </w:r>
            <w:hyperlink r:id="rId59" w:history="1">
              <w:r>
                <w:rPr>
                  <w:rStyle w:val="a4"/>
                </w:rPr>
                <w:t>ПКГ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Тарифная ставка</w:t>
            </w:r>
            <w:r>
              <w:t xml:space="preserve"> заработной платы,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"Педагогические работники"</w:t>
            </w:r>
            <w:hyperlink w:anchor="sub_111" w:history="1">
              <w:r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1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Инструктор по труду, инструктор по физической культуре, старший вожатый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2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3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Воспитатель, педагог-психолог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4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Преподаватель-организатор основ безопасности жизнедеятельности, учитель, учитель-</w:t>
            </w:r>
            <w:r>
              <w:t>дефектолог, учитель-логопед (логопед), педагог-библиотекарь, тьютор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"Учебно-вспомогательный персонал"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2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Диспетчер образовательного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</w:tbl>
    <w:p w:rsidR="00000000" w:rsidRDefault="000E4E00"/>
    <w:p w:rsidR="00000000" w:rsidRDefault="000E4E00">
      <w:bookmarkStart w:id="125" w:name="sub_111"/>
      <w:r>
        <w:t>*Ста</w:t>
      </w:r>
      <w:r>
        <w:t>вка заработной платы педагогических работников установлена с учетом средств, направленных на обеспечение книгоиздательской продукцией и периодическими изданиями.</w:t>
      </w:r>
    </w:p>
    <w:p w:rsidR="00000000" w:rsidRDefault="000E4E00">
      <w:bookmarkStart w:id="126" w:name="sub_1102"/>
      <w:bookmarkEnd w:id="125"/>
      <w:r>
        <w:t>2. На основе отнесения занимаемых ими должностей к профессиональным квалификаци</w:t>
      </w:r>
      <w:r>
        <w:t xml:space="preserve">онным группам </w:t>
      </w:r>
      <w:hyperlink r:id="rId60" w:history="1">
        <w:r>
          <w:rPr>
            <w:rStyle w:val="a4"/>
          </w:rPr>
          <w:t>ПКГ</w:t>
        </w:r>
      </w:hyperlink>
      <w:r>
        <w:t xml:space="preserve">, утвержденным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</w:t>
      </w:r>
      <w:r>
        <w:t>ии от 29.05.2008 N 247н "Об утверждении профессиональных квалификационных групп общеотраслевых должностей руководителей, специалистов и служащих":</w:t>
      </w:r>
    </w:p>
    <w:bookmarkEnd w:id="126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5729"/>
        <w:gridCol w:w="1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Должности, отнесенные к </w:t>
            </w:r>
            <w:hyperlink r:id="rId62" w:history="1">
              <w:r>
                <w:rPr>
                  <w:rStyle w:val="a4"/>
                </w:rPr>
                <w:t>ПКГ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Тарифная ставка заработной платы,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"Общеотраслевые должности служащих первого уровня"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1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Делопроизводитель, кассир, секретарь, секретарь-машинистка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"Общеотраслевые должности служащих второго уровня"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1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Инспектор по кадрам, лаборант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lastRenderedPageBreak/>
              <w:t>2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Заведующий хозяйством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"Общеотраслевые должности служащих третьего уровня"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1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Бухгалтер, инженер по охране труда, инженер-программист (программист), юрисконсульт, энергетик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</w:tbl>
    <w:p w:rsidR="00000000" w:rsidRDefault="000E4E00"/>
    <w:p w:rsidR="00000000" w:rsidRDefault="000E4E00">
      <w:bookmarkStart w:id="127" w:name="sub_1103"/>
      <w:r>
        <w:t xml:space="preserve">3. На основе отнесения их квалификационных уровней в соответствии с </w:t>
      </w:r>
      <w:hyperlink r:id="rId63" w:history="1">
        <w:r>
          <w:rPr>
            <w:rStyle w:val="a4"/>
          </w:rPr>
          <w:t>Единым</w:t>
        </w:r>
        <w:r>
          <w:rPr>
            <w:rStyle w:val="a4"/>
          </w:rPr>
          <w:t xml:space="preserve"> тарифно-квалификационным справочником</w:t>
        </w:r>
      </w:hyperlink>
      <w:r>
        <w:t xml:space="preserve"> работ и профессий рабочих,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N 248н "Об утвержден</w:t>
      </w:r>
      <w:r>
        <w:t>ии профессиональных квалификационных групп общеотраслевых профессий рабочих":</w:t>
      </w:r>
    </w:p>
    <w:bookmarkEnd w:id="127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5729"/>
        <w:gridCol w:w="1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Профессии, отнесенные к </w:t>
            </w:r>
            <w:hyperlink r:id="rId65" w:history="1">
              <w:r>
                <w:rPr>
                  <w:rStyle w:val="a4"/>
                </w:rPr>
                <w:t>ПКГ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Тарифная ставка заработной платы,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1"/>
            </w:pPr>
            <w:r>
              <w:t>"Об</w:t>
            </w:r>
            <w:r>
              <w:t>щеотраслевые профессии рабочих первого уровня"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1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Гардеробщик, дворник, сторож (вахтер), уборщик служебных помещений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2 квалификационный уровень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Водитель автомобиля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</w:tbl>
    <w:p w:rsidR="00000000" w:rsidRDefault="000E4E00"/>
    <w:p w:rsidR="00000000" w:rsidRDefault="000E4E00">
      <w:bookmarkStart w:id="128" w:name="sub_1104"/>
      <w:r>
        <w:t xml:space="preserve">4. На основе отнесения занимаемых ими должностей к </w:t>
      </w:r>
      <w:hyperlink r:id="rId66" w:history="1">
        <w:r>
          <w:rPr>
            <w:rStyle w:val="a4"/>
          </w:rPr>
          <w:t>ПКГ</w:t>
        </w:r>
      </w:hyperlink>
      <w:r>
        <w:t xml:space="preserve">, утвержденным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31.08.2007 N 570 "Об утверждении профессиональных квалификационных групп должностей работников культуры, искусства и кинематографии":</w:t>
      </w:r>
    </w:p>
    <w:bookmarkEnd w:id="128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3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Должности, отнесенные к </w:t>
            </w:r>
            <w:hyperlink r:id="rId68" w:history="1">
              <w:r>
                <w:rPr>
                  <w:rStyle w:val="a4"/>
                </w:rPr>
                <w:t>ПКГ</w:t>
              </w:r>
            </w:hyperlink>
            <w:r>
              <w:t xml:space="preserve"> "Должности работников культуры, искусства и кинематографии ведущего звена"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Тарифная ставка заработной платы,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Библиотекарь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</w:tbl>
    <w:p w:rsidR="00000000" w:rsidRDefault="000E4E00"/>
    <w:p w:rsidR="00000000" w:rsidRDefault="000E4E00">
      <w:bookmarkStart w:id="129" w:name="sub_1105"/>
      <w:r>
        <w:t xml:space="preserve">5. В случае введения в штатное расписание организации должностей, не указанных в </w:t>
      </w:r>
      <w:hyperlink w:anchor="sub_1101" w:history="1">
        <w:r>
          <w:rPr>
            <w:rStyle w:val="a4"/>
          </w:rPr>
          <w:t>пунктах 1 - 4</w:t>
        </w:r>
      </w:hyperlink>
      <w:r>
        <w:t xml:space="preserve"> настоящего приложения, но предусмотренных приказами Министерства здравоохранения и социального развития Российской Федерации </w:t>
      </w:r>
      <w:hyperlink r:id="rId69" w:history="1">
        <w:r>
          <w:rPr>
            <w:rStyle w:val="a4"/>
          </w:rPr>
          <w:t>от 05.05.2008 N 216н</w:t>
        </w:r>
      </w:hyperlink>
      <w:r>
        <w:t xml:space="preserve"> "Об утверждении профессиональных квалификационных групп должностей работников образования", </w:t>
      </w:r>
      <w:hyperlink r:id="rId70" w:history="1">
        <w:r>
          <w:rPr>
            <w:rStyle w:val="a4"/>
          </w:rPr>
          <w:t xml:space="preserve">от 29.05.2008 </w:t>
        </w:r>
        <w:r>
          <w:rPr>
            <w:rStyle w:val="a4"/>
          </w:rPr>
          <w:t>N 247н</w:t>
        </w:r>
      </w:hyperlink>
      <w:r>
        <w:t xml:space="preserve">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71" w:history="1">
        <w:r>
          <w:rPr>
            <w:rStyle w:val="a4"/>
          </w:rPr>
          <w:t>от 29.05.2008 N 248н</w:t>
        </w:r>
      </w:hyperlink>
      <w:r>
        <w:t xml:space="preserve"> "Об утверждении профессиональны</w:t>
      </w:r>
      <w:r>
        <w:t xml:space="preserve">х квалификационных групп общеотраслевых профессий рабочих", </w:t>
      </w:r>
      <w:hyperlink r:id="rId72" w:history="1">
        <w:r>
          <w:rPr>
            <w:rStyle w:val="a4"/>
          </w:rPr>
          <w:t>от 31.08.2007 N 570</w:t>
        </w:r>
      </w:hyperlink>
      <w:r>
        <w:t xml:space="preserve"> "Об утверждении профессиональных квалификационных групп должностей работников культуры, искусства и кинем</w:t>
      </w:r>
      <w:r>
        <w:t>атографии", размеры тарифных ставок заработной платы определяются на основе отнесения должностей педагогических работников и работников организации к соответствующим ПКГ.</w:t>
      </w:r>
    </w:p>
    <w:p w:rsidR="00000000" w:rsidRDefault="000E4E00">
      <w:bookmarkStart w:id="130" w:name="sub_1106"/>
      <w:bookmarkEnd w:id="129"/>
      <w:r>
        <w:t>6. Размеры тарифных ставок заработной платы для работников, не отнесе</w:t>
      </w:r>
      <w:r>
        <w:t xml:space="preserve">нных к ПКГ, указанным в </w:t>
      </w:r>
      <w:hyperlink w:anchor="sub_1101" w:history="1">
        <w:r>
          <w:rPr>
            <w:rStyle w:val="a4"/>
          </w:rPr>
          <w:t>пунктах 1 - 4</w:t>
        </w:r>
      </w:hyperlink>
      <w:r>
        <w:t xml:space="preserve"> настоящего приложения, устанавливаются в следующих размерах:</w:t>
      </w:r>
    </w:p>
    <w:bookmarkEnd w:id="130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3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Тарифная </w:t>
            </w:r>
            <w:r>
              <w:lastRenderedPageBreak/>
              <w:t>ставка заработной платы,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lastRenderedPageBreak/>
              <w:t>Заведующий библиотекой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Инженер технических средств обучения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Лаборант химической очистки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Повар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Подсобный рабочий кухни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Слесарь-сантехник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Электрик (электромонтер)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Техник-электрик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Оператор котельной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Рабочий (по обслуживанию и ремонту здания, по обслуживанию и ремонту здания на отопительный сезон, по обслуживанию бойлера, по текущему ремонту)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Специалист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Хлораторщик бассейна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Электромеханик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Инженер-электрик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Дезинсектор (дезинфектор)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c"/>
            </w:pPr>
            <w:r>
              <w:t>Системный администратор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7 800</w:t>
            </w:r>
          </w:p>
        </w:tc>
      </w:tr>
    </w:tbl>
    <w:p w:rsidR="00000000" w:rsidRDefault="000E4E00"/>
    <w:p w:rsidR="00000000" w:rsidRDefault="000E4E00">
      <w:bookmarkStart w:id="131" w:name="sub_1107"/>
      <w:r>
        <w:t>7. В случае увеличения тарифных ставок заработной платы работников организаций на основании нормативных правовых актов органов исполнительной власти Российской Федерации, Оренб</w:t>
      </w:r>
      <w:r>
        <w:t>ургской области, органов местного самоуправления размер ставок заработной платы определяется в полных рублях.</w:t>
      </w:r>
    </w:p>
    <w:bookmarkEnd w:id="131"/>
    <w:p w:rsidR="00000000" w:rsidRDefault="000E4E00"/>
    <w:p w:rsidR="00000000" w:rsidRDefault="000E4E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 апреля 2021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29 марта 2021 г. N 563-п</w:t>
      </w:r>
    </w:p>
    <w:p w:rsidR="00000000" w:rsidRDefault="000E4E00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4E0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</w:t>
      </w:r>
      <w:r>
        <w:rPr>
          <w:rStyle w:val="a3"/>
          <w:rFonts w:ascii="Arial" w:hAnsi="Arial" w:cs="Arial"/>
        </w:rPr>
        <w:t>ие 2</w:t>
      </w:r>
      <w:r>
        <w:rPr>
          <w:rStyle w:val="a3"/>
          <w:rFonts w:ascii="Arial" w:hAnsi="Arial" w:cs="Arial"/>
        </w:rPr>
        <w:br/>
        <w:t xml:space="preserve">к </w:t>
      </w:r>
      <w:hyperlink w:anchor="sub_8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об установлении</w:t>
      </w:r>
      <w:r>
        <w:rPr>
          <w:rStyle w:val="a3"/>
          <w:rFonts w:ascii="Arial" w:hAnsi="Arial" w:cs="Arial"/>
        </w:rPr>
        <w:br/>
        <w:t>системы оплаты труда работников</w:t>
      </w:r>
      <w:r>
        <w:rPr>
          <w:rStyle w:val="a3"/>
          <w:rFonts w:ascii="Arial" w:hAnsi="Arial" w:cs="Arial"/>
        </w:rPr>
        <w:br/>
        <w:t>муниципальных общеобразовательных</w:t>
      </w:r>
      <w:r>
        <w:rPr>
          <w:rStyle w:val="a3"/>
          <w:rFonts w:ascii="Arial" w:hAnsi="Arial" w:cs="Arial"/>
        </w:rPr>
        <w:br/>
        <w:t>организаций города Оренбурга,</w:t>
      </w:r>
      <w:r>
        <w:rPr>
          <w:rStyle w:val="a3"/>
          <w:rFonts w:ascii="Arial" w:hAnsi="Arial" w:cs="Arial"/>
        </w:rPr>
        <w:br/>
        <w:t>подведомственных управлению образования</w:t>
      </w:r>
      <w:r>
        <w:rPr>
          <w:rStyle w:val="a3"/>
          <w:rFonts w:ascii="Arial" w:hAnsi="Arial" w:cs="Arial"/>
        </w:rPr>
        <w:br/>
        <w:t>администрации города Оренбурга</w:t>
      </w:r>
    </w:p>
    <w:p w:rsidR="00000000" w:rsidRDefault="000E4E00"/>
    <w:p w:rsidR="00000000" w:rsidRDefault="000E4E00">
      <w:pPr>
        <w:pStyle w:val="1"/>
      </w:pPr>
      <w:r>
        <w:t>Порядок</w:t>
      </w:r>
      <w:r>
        <w:br/>
        <w:t>установления и применени</w:t>
      </w:r>
      <w:r>
        <w:t>я повышающих коэффициентов</w:t>
      </w:r>
    </w:p>
    <w:p w:rsidR="00000000" w:rsidRDefault="000E4E00">
      <w:pPr>
        <w:pStyle w:val="ab"/>
      </w:pPr>
      <w:r>
        <w:t>С изменениями и дополнениями от:</w:t>
      </w:r>
    </w:p>
    <w:p w:rsidR="00000000" w:rsidRDefault="000E4E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марта 2021 г.</w:t>
      </w:r>
    </w:p>
    <w:p w:rsidR="00000000" w:rsidRDefault="000E4E00"/>
    <w:p w:rsidR="00000000" w:rsidRDefault="000E4E00">
      <w:bookmarkStart w:id="133" w:name="sub_1201"/>
      <w:r>
        <w:t>1. Повышающие коэффициенты устанавливаются педагогическим работникам организации в следующем размере:</w:t>
      </w:r>
    </w:p>
    <w:bookmarkEnd w:id="133"/>
    <w:p w:rsidR="00000000" w:rsidRDefault="000E4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982"/>
        <w:gridCol w:w="5058"/>
        <w:gridCol w:w="1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t xml:space="preserve">Наименование повышающего </w:t>
            </w:r>
            <w:r>
              <w:lastRenderedPageBreak/>
              <w:t>коэффициента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  <w:jc w:val="center"/>
            </w:pPr>
            <w:r>
              <w:lastRenderedPageBreak/>
              <w:t xml:space="preserve">Основание для </w:t>
            </w:r>
            <w:r>
              <w:t>применения повышающего коэффициента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Значение коэффициент</w:t>
            </w:r>
            <w:r>
              <w:lastRenderedPageBreak/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lastRenderedPageBreak/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Коэффициент уровня образования и педагогического стажа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высшее профессиональное образование и стаж педагогической работы</w:t>
            </w:r>
            <w:hyperlink w:anchor="sub_12111" w:history="1">
              <w:r>
                <w:rPr>
                  <w:rStyle w:val="a4"/>
                </w:rPr>
                <w:t>*(1)</w:t>
              </w:r>
            </w:hyperlink>
            <w:r>
              <w:t>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более 20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10 до 20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5 до 10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0 до 5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среднее профессиональное образование, стаж педагогической работы</w:t>
            </w:r>
            <w:hyperlink w:anchor="sub_12111" w:history="1">
              <w:r>
                <w:rPr>
                  <w:rStyle w:val="a4"/>
                </w:rPr>
                <w:t>*(1)</w:t>
              </w:r>
            </w:hyperlink>
            <w:r>
              <w:t>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более 20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10 до 20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5 до 10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от 0 до 5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Коэффициент квалификации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квалификационные категории: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высшая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первая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молодой специалист</w:t>
            </w:r>
            <w:hyperlink w:anchor="sub_1211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3.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Коэффициент специфики работы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за работу в лицеях</w:t>
            </w:r>
            <w:hyperlink w:anchor="sub_12113" w:history="1">
              <w:r>
                <w:rPr>
                  <w:rStyle w:val="a4"/>
                </w:rPr>
                <w:t>*(3)</w:t>
              </w:r>
            </w:hyperlink>
            <w:r>
              <w:t>, гимназиях*(3) и классах с углубленным изучением отдельных предметов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за работу с обучающимися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a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E00">
            <w:pPr>
              <w:pStyle w:val="ac"/>
            </w:pPr>
            <w:r>
              <w:t>за работу в организациях, расположенных на территории сельских населенных пунктов, входящих в состав муниципального образования "город Оренбург"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E00">
            <w:pPr>
              <w:pStyle w:val="aa"/>
              <w:jc w:val="center"/>
            </w:pPr>
            <w:r>
              <w:t>0,12</w:t>
            </w:r>
          </w:p>
        </w:tc>
      </w:tr>
    </w:tbl>
    <w:p w:rsidR="00000000" w:rsidRDefault="000E4E00"/>
    <w:p w:rsidR="00000000" w:rsidRDefault="000E4E00">
      <w:bookmarkStart w:id="134" w:name="sub_12111"/>
      <w:r>
        <w:t>(1) педагогическим работникам, занимающим должность педагог-библиотекарь, в стаж работы засчиты</w:t>
      </w:r>
      <w:r>
        <w:t>вается время работы в должности библиотекаря и/или заведующего библиотекой. Время работы в должности педагога засчитывается в стаж работы педагога-библиотекаря при условии выполнения нормы часов педагогической работы за ставку заработной платы;</w:t>
      </w:r>
    </w:p>
    <w:p w:rsidR="00000000" w:rsidRDefault="000E4E00">
      <w:bookmarkStart w:id="135" w:name="sub_12112"/>
      <w:bookmarkEnd w:id="134"/>
      <w:r>
        <w:t>(2) к молодым специалистам относятся:</w:t>
      </w:r>
    </w:p>
    <w:bookmarkEnd w:id="135"/>
    <w:p w:rsidR="00000000" w:rsidRDefault="000E4E00">
      <w:r>
        <w:t>выпускники образовательных организаций высшего и среднего профессионального образования очной формы обучения в возрасте до тридцати лет, принятые на работу в организацию в год окончания учебы и не имеющ</w:t>
      </w:r>
      <w:r>
        <w:t>ие стажа педагогической деятельности;</w:t>
      </w:r>
    </w:p>
    <w:p w:rsidR="00000000" w:rsidRDefault="000E4E00">
      <w:r>
        <w:t xml:space="preserve">выпускники образовательных организаций высшего и среднего профессионального образования очной формы обучения в возрасте до тридцати лет, имеющие стаж педагогической деятельности в соответствии с </w:t>
      </w:r>
      <w:hyperlink r:id="rId75" w:history="1">
        <w:r>
          <w:rPr>
            <w:rStyle w:val="a4"/>
          </w:rPr>
          <w:t>частью 3 статьи 46</w:t>
        </w:r>
      </w:hyperlink>
      <w:r>
        <w:t xml:space="preserve"> Федерального закона от 29.12.2012 N 273-ФЗ "Об образовании в Российской Федерации".</w:t>
      </w:r>
    </w:p>
    <w:p w:rsidR="00000000" w:rsidRDefault="000E4E00">
      <w:r>
        <w:t>Статус молодого специалиста действует в течение двух лет с момента окончания учебы. В случае присвоения молодому специалисту квалификационной категории в период действия статуса молодого специалиста, данный статус утрачивает силу с момента присвоения квали</w:t>
      </w:r>
      <w:r>
        <w:t>фикационной категории. В случае призыва выпускника на военную службу срок действия статуса молодого специалиста продлевается с момента окончания учебы на срок военной службы при условии трудоустройства в образовательную организацию по специальности в год о</w:t>
      </w:r>
      <w:r>
        <w:t>кончания военной службы;</w:t>
      </w:r>
    </w:p>
    <w:p w:rsidR="00000000" w:rsidRDefault="000E4E00">
      <w:bookmarkStart w:id="136" w:name="sub_12113"/>
      <w:r>
        <w:t>(3) коэффициент 0,15 применяется для лицеев и гимназий, прошедших государственную аккредитацию.</w:t>
      </w:r>
    </w:p>
    <w:p w:rsidR="00000000" w:rsidRDefault="000E4E00">
      <w:bookmarkStart w:id="137" w:name="sub_1202"/>
      <w:bookmarkEnd w:id="136"/>
      <w:r>
        <w:t xml:space="preserve">2. Применение повышающих коэффициентов осуществляется путем умножения размера </w:t>
      </w:r>
      <w:r>
        <w:lastRenderedPageBreak/>
        <w:t xml:space="preserve">заработной платы, исчисленного </w:t>
      </w:r>
      <w:r>
        <w:t>за фактический объем учебной нагрузки и (или) фактический объем педагогической работы из размера ставок заработной платы, предусмотренных по каждому квалификационному уровню профессионально-квалификационных групп, на величину повышающих коэффициентов.</w:t>
      </w:r>
    </w:p>
    <w:p w:rsidR="00000000" w:rsidRDefault="000E4E00">
      <w:bookmarkStart w:id="138" w:name="sub_1203"/>
      <w:bookmarkEnd w:id="137"/>
      <w:r>
        <w:t>3. При наличии у работника права на применение повышающих коэффициентов по нескольким основаниям, их величины по каждому основанию суммируются и применяются путем умножения образовавшейся величины на размер заработной платы, исчисленной за факт</w:t>
      </w:r>
      <w:r>
        <w:t>ический объем учебной нагрузки и (или) педагогической работы.</w:t>
      </w:r>
    </w:p>
    <w:p w:rsidR="00000000" w:rsidRDefault="000E4E00">
      <w:bookmarkStart w:id="139" w:name="sub_1204"/>
      <w:bookmarkEnd w:id="138"/>
      <w:r>
        <w:t>4. Коэффициент уровня образования и педагогического стажа устанавливается на основании документов государственного образца о получении высшего (среднего) профессионального образо</w:t>
      </w:r>
      <w:r>
        <w:t>вания (подлинников или нотариально заверенных копий).</w:t>
      </w:r>
    </w:p>
    <w:bookmarkEnd w:id="139"/>
    <w:p w:rsidR="00000000" w:rsidRDefault="000E4E00">
      <w:r>
        <w:t>Право на установление коэффициента уровня образования и педагогического стажа возникает у педагогических работников организации:</w:t>
      </w:r>
    </w:p>
    <w:p w:rsidR="00000000" w:rsidRDefault="000E4E00">
      <w:r>
        <w:t>при получении образования или восстановлении документов об образо</w:t>
      </w:r>
      <w:r>
        <w:t>вании - со дня представления соответствующего документа;</w:t>
      </w:r>
    </w:p>
    <w:p w:rsidR="00000000" w:rsidRDefault="000E4E00">
      <w:r>
        <w:t>при увеличении стажа педагогической работы - со дня достижения соответствующего стажа, если документы находятся в организации, или со дня представления документа о стаже, дающем право на установление</w:t>
      </w:r>
      <w:r>
        <w:t xml:space="preserve"> выплаты.</w:t>
      </w:r>
    </w:p>
    <w:p w:rsidR="00000000" w:rsidRDefault="000E4E00">
      <w:bookmarkStart w:id="140" w:name="sub_1205"/>
      <w:r>
        <w:t>5. Коэффициент квалификации педагогическим работникам организации при присвоении квалификационной категории устанавливается со дня вынесения решения аттестационной комиссии.</w:t>
      </w:r>
    </w:p>
    <w:bookmarkEnd w:id="140"/>
    <w:p w:rsidR="00000000" w:rsidRDefault="000E4E00">
      <w:r>
        <w:t>Коэффициент квалификации молодому специалисту устанавлив</w:t>
      </w:r>
      <w:r>
        <w:t>ается на основании документов государственного образца о получении высшего (среднего) профессионального образования (подлинников или нотариально заверенных копий).</w:t>
      </w:r>
    </w:p>
    <w:p w:rsidR="00000000" w:rsidRDefault="000E4E00">
      <w:bookmarkStart w:id="141" w:name="sub_1206"/>
      <w:r>
        <w:t>6. Коэффициент специфики работы учитывает специфику контингента обучающихся в органи</w:t>
      </w:r>
      <w:r>
        <w:t>зации (классе) и производится пропорционально нагрузке.</w:t>
      </w:r>
    </w:p>
    <w:bookmarkEnd w:id="141"/>
    <w:p w:rsidR="00000000" w:rsidRDefault="000E4E00">
      <w:r>
        <w:t>При наличии нескольких оснований для установления коэффициента специфики работы педагогическому работнику, коэффициент специфики работы устанавливается суммарно по каждому основанию и по каждо</w:t>
      </w:r>
      <w:r>
        <w:t>й занимаемой должности.</w:t>
      </w:r>
    </w:p>
    <w:p w:rsidR="00000000" w:rsidRDefault="000E4E00">
      <w:bookmarkStart w:id="142" w:name="sub_1207"/>
      <w:r>
        <w:t>7. Применение повышающих коэффициентов не образует новый оклад и не учитывается при исчислении стимулирующих и компенсационных выплат.</w:t>
      </w:r>
    </w:p>
    <w:bookmarkEnd w:id="142"/>
    <w:p w:rsidR="000E4E00" w:rsidRDefault="000E4E00"/>
    <w:sectPr w:rsidR="000E4E00">
      <w:headerReference w:type="default" r:id="rId76"/>
      <w:footerReference w:type="default" r:id="rId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00" w:rsidRDefault="000E4E00">
      <w:r>
        <w:separator/>
      </w:r>
    </w:p>
  </w:endnote>
  <w:endnote w:type="continuationSeparator" w:id="0">
    <w:p w:rsidR="000E4E00" w:rsidRDefault="000E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E4E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A2D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DE4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4E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4E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A2D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DE4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A2DE4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00" w:rsidRDefault="000E4E00">
      <w:r>
        <w:separator/>
      </w:r>
    </w:p>
  </w:footnote>
  <w:footnote w:type="continuationSeparator" w:id="0">
    <w:p w:rsidR="000E4E00" w:rsidRDefault="000E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E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23 октября 2019 г. N 3048-п "Об утверждении положения 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141"/>
    <w:rsid w:val="000E4E00"/>
    <w:rsid w:val="00824141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2D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7540921/3314" TargetMode="External"/><Relationship Id="rId18" Type="http://schemas.openxmlformats.org/officeDocument/2006/relationships/hyperlink" Target="http://mobileonline.garant.ru/document/redirect/45819958/0" TargetMode="External"/><Relationship Id="rId26" Type="http://schemas.openxmlformats.org/officeDocument/2006/relationships/hyperlink" Target="http://mobileonline.garant.ru/document/redirect/12125268/5" TargetMode="External"/><Relationship Id="rId39" Type="http://schemas.openxmlformats.org/officeDocument/2006/relationships/image" Target="media/image10.emf"/><Relationship Id="rId21" Type="http://schemas.openxmlformats.org/officeDocument/2006/relationships/hyperlink" Target="http://mobileonline.garant.ru/document/redirect/72905163/0" TargetMode="External"/><Relationship Id="rId34" Type="http://schemas.openxmlformats.org/officeDocument/2006/relationships/hyperlink" Target="http://mobileonline.garant.ru/document/redirect/70878632/0" TargetMode="External"/><Relationship Id="rId42" Type="http://schemas.openxmlformats.org/officeDocument/2006/relationships/image" Target="media/image13.emf"/><Relationship Id="rId47" Type="http://schemas.openxmlformats.org/officeDocument/2006/relationships/hyperlink" Target="http://mobileonline.garant.ru/document/redirect/12125268/5" TargetMode="External"/><Relationship Id="rId50" Type="http://schemas.openxmlformats.org/officeDocument/2006/relationships/hyperlink" Target="http://mobileonline.garant.ru/document/redirect/400512427/13" TargetMode="External"/><Relationship Id="rId55" Type="http://schemas.openxmlformats.org/officeDocument/2006/relationships/hyperlink" Target="http://mobileonline.garant.ru/document/redirect/400512427/6" TargetMode="External"/><Relationship Id="rId63" Type="http://schemas.openxmlformats.org/officeDocument/2006/relationships/hyperlink" Target="http://mobileonline.garant.ru/document/redirect/108186/0" TargetMode="External"/><Relationship Id="rId68" Type="http://schemas.openxmlformats.org/officeDocument/2006/relationships/hyperlink" Target="http://mobileonline.garant.ru/document/redirect/191912/1000" TargetMode="External"/><Relationship Id="rId76" Type="http://schemas.openxmlformats.org/officeDocument/2006/relationships/header" Target="header1.xml"/><Relationship Id="rId7" Type="http://schemas.openxmlformats.org/officeDocument/2006/relationships/hyperlink" Target="http://mobileonline.garant.ru/document/redirect/72905162/0" TargetMode="External"/><Relationship Id="rId71" Type="http://schemas.openxmlformats.org/officeDocument/2006/relationships/hyperlink" Target="http://mobileonline.garant.ru/document/redirect/19350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06720/0" TargetMode="External"/><Relationship Id="rId29" Type="http://schemas.openxmlformats.org/officeDocument/2006/relationships/image" Target="media/image1.emf"/><Relationship Id="rId11" Type="http://schemas.openxmlformats.org/officeDocument/2006/relationships/hyperlink" Target="http://mobileonline.garant.ru/document/redirect/186367/53" TargetMode="External"/><Relationship Id="rId24" Type="http://schemas.openxmlformats.org/officeDocument/2006/relationships/hyperlink" Target="http://mobileonline.garant.ru/document/redirect/12125268/0" TargetMode="External"/><Relationship Id="rId32" Type="http://schemas.openxmlformats.org/officeDocument/2006/relationships/image" Target="media/image4.emf"/><Relationship Id="rId37" Type="http://schemas.openxmlformats.org/officeDocument/2006/relationships/image" Target="media/image8.emf"/><Relationship Id="rId40" Type="http://schemas.openxmlformats.org/officeDocument/2006/relationships/image" Target="media/image11.emf"/><Relationship Id="rId45" Type="http://schemas.openxmlformats.org/officeDocument/2006/relationships/image" Target="media/image16.emf"/><Relationship Id="rId53" Type="http://schemas.openxmlformats.org/officeDocument/2006/relationships/hyperlink" Target="http://mobileonline.garant.ru/document/redirect/400512427/1" TargetMode="External"/><Relationship Id="rId58" Type="http://schemas.openxmlformats.org/officeDocument/2006/relationships/hyperlink" Target="http://mobileonline.garant.ru/document/redirect/193313/0" TargetMode="External"/><Relationship Id="rId66" Type="http://schemas.openxmlformats.org/officeDocument/2006/relationships/hyperlink" Target="http://mobileonline.garant.ru/document/redirect/191912/1000" TargetMode="External"/><Relationship Id="rId74" Type="http://schemas.openxmlformats.org/officeDocument/2006/relationships/hyperlink" Target="http://mobileonline.garant.ru/document/redirect/27549628/120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93459/0" TargetMode="External"/><Relationship Id="rId10" Type="http://schemas.openxmlformats.org/officeDocument/2006/relationships/hyperlink" Target="http://mobileonline.garant.ru/document/redirect/186367/160113" TargetMode="External"/><Relationship Id="rId19" Type="http://schemas.openxmlformats.org/officeDocument/2006/relationships/hyperlink" Target="http://mobileonline.garant.ru/document/redirect/72905163/0" TargetMode="External"/><Relationship Id="rId31" Type="http://schemas.openxmlformats.org/officeDocument/2006/relationships/image" Target="media/image3.emf"/><Relationship Id="rId44" Type="http://schemas.openxmlformats.org/officeDocument/2006/relationships/image" Target="media/image15.emf"/><Relationship Id="rId52" Type="http://schemas.openxmlformats.org/officeDocument/2006/relationships/hyperlink" Target="http://mobileonline.garant.ru/document/redirect/10180093/0" TargetMode="External"/><Relationship Id="rId60" Type="http://schemas.openxmlformats.org/officeDocument/2006/relationships/hyperlink" Target="http://mobileonline.garant.ru/document/redirect/193459/1000" TargetMode="External"/><Relationship Id="rId65" Type="http://schemas.openxmlformats.org/officeDocument/2006/relationships/hyperlink" Target="http://mobileonline.garant.ru/document/redirect/193507/1000" TargetMode="External"/><Relationship Id="rId73" Type="http://schemas.openxmlformats.org/officeDocument/2006/relationships/hyperlink" Target="http://mobileonline.garant.ru/document/redirect/400512427/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268/145" TargetMode="External"/><Relationship Id="rId14" Type="http://schemas.openxmlformats.org/officeDocument/2006/relationships/hyperlink" Target="http://mobileonline.garant.ru/document/redirect/27540921/3581" TargetMode="External"/><Relationship Id="rId22" Type="http://schemas.openxmlformats.org/officeDocument/2006/relationships/hyperlink" Target="http://mobileonline.garant.ru/document/redirect/400512427/1" TargetMode="External"/><Relationship Id="rId27" Type="http://schemas.openxmlformats.org/officeDocument/2006/relationships/hyperlink" Target="http://mobileonline.garant.ru/document/redirect/27520188/0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6.emf"/><Relationship Id="rId43" Type="http://schemas.openxmlformats.org/officeDocument/2006/relationships/image" Target="media/image14.emf"/><Relationship Id="rId48" Type="http://schemas.openxmlformats.org/officeDocument/2006/relationships/hyperlink" Target="http://mobileonline.garant.ru/document/redirect/12125268/112" TargetMode="External"/><Relationship Id="rId56" Type="http://schemas.openxmlformats.org/officeDocument/2006/relationships/hyperlink" Target="http://mobileonline.garant.ru/document/redirect/400512427/14" TargetMode="External"/><Relationship Id="rId64" Type="http://schemas.openxmlformats.org/officeDocument/2006/relationships/hyperlink" Target="http://mobileonline.garant.ru/document/redirect/193507/0" TargetMode="External"/><Relationship Id="rId69" Type="http://schemas.openxmlformats.org/officeDocument/2006/relationships/hyperlink" Target="http://mobileonline.garant.ru/document/redirect/193313/0" TargetMode="External"/><Relationship Id="rId77" Type="http://schemas.openxmlformats.org/officeDocument/2006/relationships/footer" Target="footer1.xml"/><Relationship Id="rId8" Type="http://schemas.openxmlformats.org/officeDocument/2006/relationships/hyperlink" Target="http://mobileonline.garant.ru/document/redirect/12125268/144" TargetMode="External"/><Relationship Id="rId51" Type="http://schemas.openxmlformats.org/officeDocument/2006/relationships/hyperlink" Target="http://mobileonline.garant.ru/document/redirect/70291362/4" TargetMode="External"/><Relationship Id="rId72" Type="http://schemas.openxmlformats.org/officeDocument/2006/relationships/hyperlink" Target="http://mobileonline.garant.ru/document/redirect/191912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7540921/80216" TargetMode="External"/><Relationship Id="rId17" Type="http://schemas.openxmlformats.org/officeDocument/2006/relationships/hyperlink" Target="http://mobileonline.garant.ru/document/redirect/45816258/0" TargetMode="External"/><Relationship Id="rId25" Type="http://schemas.openxmlformats.org/officeDocument/2006/relationships/hyperlink" Target="http://mobileonline.garant.ru/document/redirect/57407515/0" TargetMode="External"/><Relationship Id="rId33" Type="http://schemas.openxmlformats.org/officeDocument/2006/relationships/image" Target="media/image5.emf"/><Relationship Id="rId38" Type="http://schemas.openxmlformats.org/officeDocument/2006/relationships/image" Target="media/image9.emf"/><Relationship Id="rId46" Type="http://schemas.openxmlformats.org/officeDocument/2006/relationships/image" Target="media/image17.emf"/><Relationship Id="rId59" Type="http://schemas.openxmlformats.org/officeDocument/2006/relationships/hyperlink" Target="http://mobileonline.garant.ru/document/redirect/193313/1000" TargetMode="External"/><Relationship Id="rId67" Type="http://schemas.openxmlformats.org/officeDocument/2006/relationships/hyperlink" Target="http://mobileonline.garant.ru/document/redirect/191912/0" TargetMode="External"/><Relationship Id="rId20" Type="http://schemas.openxmlformats.org/officeDocument/2006/relationships/hyperlink" Target="http://mobileonline.garant.ru/document/redirect/27552898/27" TargetMode="External"/><Relationship Id="rId41" Type="http://schemas.openxmlformats.org/officeDocument/2006/relationships/image" Target="media/image12.emf"/><Relationship Id="rId54" Type="http://schemas.openxmlformats.org/officeDocument/2006/relationships/hyperlink" Target="http://mobileonline.garant.ru/document/redirect/27549628/1100" TargetMode="External"/><Relationship Id="rId62" Type="http://schemas.openxmlformats.org/officeDocument/2006/relationships/hyperlink" Target="http://mobileonline.garant.ru/document/redirect/193459/1000" TargetMode="External"/><Relationship Id="rId70" Type="http://schemas.openxmlformats.org/officeDocument/2006/relationships/hyperlink" Target="http://mobileonline.garant.ru/document/redirect/193459/0" TargetMode="External"/><Relationship Id="rId75" Type="http://schemas.openxmlformats.org/officeDocument/2006/relationships/hyperlink" Target="http://mobileonline.garant.ru/document/redirect/70291362/46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7540921/0" TargetMode="External"/><Relationship Id="rId23" Type="http://schemas.openxmlformats.org/officeDocument/2006/relationships/hyperlink" Target="http://mobileonline.garant.ru/document/redirect/27549628/8" TargetMode="External"/><Relationship Id="rId28" Type="http://schemas.openxmlformats.org/officeDocument/2006/relationships/hyperlink" Target="http://mobileonline.garant.ru/document/redirect/10180093/0" TargetMode="External"/><Relationship Id="rId36" Type="http://schemas.openxmlformats.org/officeDocument/2006/relationships/image" Target="media/image7.emf"/><Relationship Id="rId49" Type="http://schemas.openxmlformats.org/officeDocument/2006/relationships/hyperlink" Target="http://mobileonline.garant.ru/document/redirect/400512427/3" TargetMode="External"/><Relationship Id="rId57" Type="http://schemas.openxmlformats.org/officeDocument/2006/relationships/hyperlink" Target="http://mobileonline.garant.ru/document/redirect/19331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7582</Words>
  <Characters>43219</Characters>
  <Application>Microsoft Office Word</Application>
  <DocSecurity>0</DocSecurity>
  <Lines>360</Lines>
  <Paragraphs>101</Paragraphs>
  <ScaleCrop>false</ScaleCrop>
  <Company>НПП "Гарант-Сервис"</Company>
  <LinksUpToDate>false</LinksUpToDate>
  <CharactersWithSpaces>50700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2021-08-16T04:05:00Z</dcterms:created>
  <dcterms:modified xsi:type="dcterms:W3CDTF">2021-08-16T04:05:00Z</dcterms:modified>
</cp:coreProperties>
</file>